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6368" w14:textId="77777777" w:rsidR="000B128C" w:rsidRPr="00CE541D" w:rsidRDefault="000B128C" w:rsidP="000B128C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5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B86BA7" w:rsidRPr="00CE5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512F2" w:rsidRPr="00CE5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</w:p>
    <w:p w14:paraId="18AC4235" w14:textId="77777777" w:rsidR="00460CC7" w:rsidRPr="00CE541D" w:rsidRDefault="00405C1B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460CC7"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2374B24A" w14:textId="77777777" w:rsidR="00405C1B" w:rsidRPr="00CE541D" w:rsidRDefault="00460CC7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405C1B"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4EE87BDA" w14:textId="77777777" w:rsidR="00405C1B" w:rsidRPr="00CE541D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47E43229" w14:textId="77777777" w:rsidR="00405C1B" w:rsidRPr="00CE541D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1865322D" w14:textId="77777777" w:rsidR="000B128C" w:rsidRPr="00CE541D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  <w:r w:rsidR="000B128C" w:rsidRPr="00CE54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D42B5AC" w14:textId="77777777" w:rsidR="000B128C" w:rsidRPr="00CE541D" w:rsidRDefault="000B128C" w:rsidP="000B12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4072B6" w14:textId="77777777" w:rsidR="000B128C" w:rsidRPr="00CE541D" w:rsidDel="00F27D1C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CE541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ПЕРЕЧЕНЬ ПРОВОДИМЫХ ПРОЦЕДУР ПО ВЕРИФИКАЦИИ ПАКЕТА ДОКУМЕНТОВ К ЗАЯВКЕ СУБЪЕКТА МСП, ОЦЕНКИ ДЕЛОВОЙ РЕПУТАЦИИ СУБЪЕКТА МСП, ОЦЕНКИ ПРАВОСПОСОБНОСТИ СУБЪЕКТА МСП</w:t>
      </w:r>
    </w:p>
    <w:p w14:paraId="5A7D60E5" w14:textId="77777777" w:rsidR="000B128C" w:rsidRPr="00CE541D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8"/>
        <w:gridCol w:w="1134"/>
        <w:gridCol w:w="1275"/>
      </w:tblGrid>
      <w:tr w:rsidR="000B128C" w:rsidRPr="00CE541D" w14:paraId="429778F1" w14:textId="77777777" w:rsidTr="00405C1B">
        <w:trPr>
          <w:jc w:val="center"/>
        </w:trPr>
        <w:tc>
          <w:tcPr>
            <w:tcW w:w="12328" w:type="dxa"/>
            <w:vMerge w:val="restart"/>
            <w:shd w:val="clear" w:color="auto" w:fill="auto"/>
          </w:tcPr>
          <w:p w14:paraId="16FB148D" w14:textId="77777777" w:rsidR="000B128C" w:rsidRPr="00CE541D" w:rsidRDefault="000B128C" w:rsidP="00F1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Перечень операций и соответствующие документы </w:t>
            </w:r>
          </w:p>
          <w:p w14:paraId="39502A28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2409" w:type="dxa"/>
            <w:gridSpan w:val="2"/>
          </w:tcPr>
          <w:p w14:paraId="536E1E91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0B128C" w:rsidRPr="00CE541D" w14:paraId="7E097BE4" w14:textId="77777777" w:rsidTr="00405C1B">
        <w:trPr>
          <w:jc w:val="center"/>
        </w:trPr>
        <w:tc>
          <w:tcPr>
            <w:tcW w:w="12328" w:type="dxa"/>
            <w:vMerge/>
            <w:shd w:val="clear" w:color="auto" w:fill="auto"/>
          </w:tcPr>
          <w:p w14:paraId="48078E5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14:paraId="64EC82C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proofErr w:type="gramStart"/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  <w:proofErr w:type="gramEnd"/>
          </w:p>
          <w:p w14:paraId="60632BEB" w14:textId="77777777" w:rsidR="000B128C" w:rsidRPr="00CE541D" w:rsidRDefault="000B128C" w:rsidP="00F11E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5798C5B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Малый сегмент</w:t>
            </w:r>
          </w:p>
          <w:p w14:paraId="1AE5D42D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B128C" w:rsidRPr="00CE541D" w14:paraId="477FF3BD" w14:textId="77777777" w:rsidTr="00405C1B">
        <w:trPr>
          <w:jc w:val="center"/>
        </w:trPr>
        <w:tc>
          <w:tcPr>
            <w:tcW w:w="12328" w:type="dxa"/>
            <w:tcBorders>
              <w:bottom w:val="dotted" w:sz="4" w:space="0" w:color="auto"/>
            </w:tcBorders>
            <w:shd w:val="clear" w:color="auto" w:fill="auto"/>
          </w:tcPr>
          <w:p w14:paraId="4CE2C6D9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 Проверка пакета документов, полученного для рассмотрения вопроса о предоставлении Поручительства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</w:tcPr>
          <w:p w14:paraId="32F357C3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14:paraId="3C7AA104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10DEE5A2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B678F9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1.1. Проверка Заявки</w:t>
            </w:r>
            <w:r w:rsidR="00405C1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Субъекта МСП</w:t>
            </w: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на предоставление Поручительства</w:t>
            </w:r>
          </w:p>
          <w:p w14:paraId="7D4B9DBA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Заявка</w:t>
            </w:r>
            <w:r w:rsidR="00405C1B"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Субъекта МСП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проверяется на корректность заполнения всех разделов, в том числе:</w:t>
            </w:r>
          </w:p>
          <w:p w14:paraId="58EEEE64" w14:textId="77777777" w:rsidR="000B128C" w:rsidRPr="00CE541D" w:rsidRDefault="00405C1B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</w:t>
            </w:r>
            <w:r w:rsidR="000B128C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аименование, организационно-правовая форма и основной вид деятельности Субъекта МСП, указанные в Заявке должны соответствовать данным в ЕГРЮЛ/ЕГРИП;</w:t>
            </w:r>
          </w:p>
          <w:p w14:paraId="613C5C0D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подтверждение возможности предоставления 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поручительства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Субъекту МСП по планируемому кредиту;</w:t>
            </w:r>
          </w:p>
          <w:p w14:paraId="63A443E0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сумма/срок 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Поручительства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сумма/срок кредита, основной вид деятельности Заемщика, цель кредитования должны точно соответствовать данным, указанным в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Ба</w:t>
            </w:r>
            <w:r w:rsidR="00A12E0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нка-партнера (Приложение № 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FCCCA75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данные о численности работников Субъекта МСП должны быть указаны по состоянию на </w:t>
            </w:r>
            <w:r w:rsidR="00B62981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1-ое число месяца, в котором подается заявка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5E7FBB6D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и печати (при наличии) Субъекта МСП;</w:t>
            </w:r>
          </w:p>
          <w:p w14:paraId="65462507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сотрудника Банка – партнера.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0774FA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1F8930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70C33B5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1C409B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1.2. Проверка Формуляра Банка-Партнера</w:t>
            </w:r>
          </w:p>
          <w:p w14:paraId="20E76276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Формуляр проверяется на полноту и правильность заполнения всех разделов, в том числе:</w:t>
            </w:r>
          </w:p>
          <w:p w14:paraId="67B90EC6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наименование Субъекта МСП и его организационно-правовая форма должны быть указаны в строгом соответствии с ЕГРЮЛ/ЕГРИП;</w:t>
            </w:r>
          </w:p>
          <w:p w14:paraId="4178ADD4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основной вид деятельности Субъекта МСП должен точно соответствовать данным, указанным в Заявке;</w:t>
            </w:r>
          </w:p>
          <w:p w14:paraId="4DB16712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содержание полей, заполняемых Банком - партнером, должно четко отвечать на поставленные в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Банка-партнера (Приложение № 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вопросы;</w:t>
            </w:r>
          </w:p>
          <w:p w14:paraId="29CBFB33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ФИО сотрудника Банка - партнера, указанные в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Банка-партнера (Приложение № 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1170AF51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наличие подписи сотрудника Банка - партнера.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B027D76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93D2D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26F602CC" w14:textId="77777777" w:rsidTr="00405C1B">
        <w:trPr>
          <w:trHeight w:val="374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288A0A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1.3. Проверка Решения Банка-п</w:t>
            </w:r>
            <w:r w:rsidR="00405C1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артнера о кредитовании </w:t>
            </w:r>
            <w:r w:rsidR="00227C75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Субъекта МСП</w:t>
            </w:r>
          </w:p>
          <w:p w14:paraId="50444898" w14:textId="77777777" w:rsidR="000B128C" w:rsidRPr="00CE541D" w:rsidRDefault="000B128C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Решение Банка – партнера о кредитовании Субъекта МСП должно содержать следующую информацию: </w:t>
            </w:r>
          </w:p>
          <w:p w14:paraId="66A1DA70" w14:textId="77777777" w:rsidR="000B128C" w:rsidRPr="00CE541D" w:rsidRDefault="000B128C" w:rsidP="00362C6B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Реквизиты Решения (номер и дата решения) и подпись сотрудника Банка-партнера;</w:t>
            </w:r>
          </w:p>
          <w:p w14:paraId="6A45F81D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наименование и организационно-правовая форма Субъекта МСП, указанные в Заявке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данным в ЕГРЮЛ/ЕГРИП;</w:t>
            </w:r>
          </w:p>
          <w:p w14:paraId="194C734A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соответствие суммы, срока, цели кредита соответствующим данным, указанным в Заявке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 Формуляре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Банка-партнера (Приложение № 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4EF8FF0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в качестве обеспечения по кредиту должно быть указано Поручительство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Фонда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и сумма Поручительства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Фонда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должна соответствовать запрашиваемой сумме по Заявке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/Формуляру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Банка-партнера (Приложение № </w:t>
            </w:r>
            <w:r w:rsidR="00194877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5.1</w:t>
            </w:r>
            <w:r w:rsidR="00405C1B"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1571AA8E" w14:textId="77777777" w:rsidR="000B128C" w:rsidRPr="00CE541D" w:rsidRDefault="000B128C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содержать информацию о процентной ставке по кредиту.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A8BE30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94FE8C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19828996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D61FF4" w14:textId="77777777" w:rsidR="000B128C" w:rsidRPr="00CE541D" w:rsidRDefault="000B128C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1.4. </w:t>
            </w: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наличия п</w:t>
            </w:r>
            <w:r w:rsidR="00227C75"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равоустанавливающих документов</w:t>
            </w:r>
          </w:p>
          <w:p w14:paraId="1F94B74C" w14:textId="77777777" w:rsidR="006B20E5" w:rsidRPr="00CE541D" w:rsidRDefault="006B20E5" w:rsidP="006B20E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  <w:t>а) для индивидуальных предпринимателей:</w:t>
            </w:r>
          </w:p>
          <w:p w14:paraId="2748A86A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государственной регистрации физического лица в качестве индивидуального предпринимателя (ОГРН</w:t>
            </w:r>
            <w:r w:rsidRPr="00CE541D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), для зарегистрированных после 01.01.2017 года – Лист записи из ЕГРИП</w:t>
            </w: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971C120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физического лица в налоговом органе на территории Российской Федерации (ИНН);</w:t>
            </w:r>
          </w:p>
          <w:p w14:paraId="0C0AC192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выписку из Единого государственного реестра индивидуальных предпринимателей, выданную не ранее 1 (Одного) месяца до даты принятия заявления на предоставление поддержки;</w:t>
            </w:r>
          </w:p>
          <w:p w14:paraId="13B0A275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паспорт заявителя (все страницы, в т.ч. незаполненные);</w:t>
            </w:r>
          </w:p>
          <w:p w14:paraId="7A55209E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лицензии на право осуществления деятельности, подлежащей лицензированию (в случае их наличия).</w:t>
            </w:r>
          </w:p>
          <w:p w14:paraId="2ED13D7E" w14:textId="77777777" w:rsidR="006B20E5" w:rsidRPr="00CE541D" w:rsidRDefault="006B20E5" w:rsidP="006B20E5">
            <w:pPr>
              <w:tabs>
                <w:tab w:val="left" w:pos="708"/>
              </w:tabs>
              <w:suppressAutoHyphens/>
              <w:spacing w:after="0" w:line="240" w:lineRule="auto"/>
              <w:ind w:left="15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</w:p>
          <w:p w14:paraId="2C30DA6C" w14:textId="77777777" w:rsidR="006B20E5" w:rsidRPr="00CE541D" w:rsidRDefault="006B20E5" w:rsidP="006B20E5">
            <w:pPr>
              <w:tabs>
                <w:tab w:val="left" w:pos="708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CE541D"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  <w:t>б) для юридических лиц:</w:t>
            </w:r>
          </w:p>
          <w:p w14:paraId="69383E4B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государственной регистрации юридического лица (ОГРН)</w:t>
            </w:r>
            <w:r w:rsidRPr="00CE541D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, для зарегистрированных после 01.01.2017 года – Лист записи из ЕГРН</w:t>
            </w: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DBAB404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российской организации в налоговом органе по месту нахождения на территории Российской Федерации (ИНН);</w:t>
            </w:r>
          </w:p>
          <w:p w14:paraId="6E98BF16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выписку из Единого государственного реестра юридических лиц или выписку из реестра акционеров (для акционерных обществ), выданную не ранее 1 (одного) месяца до даты принятия заявления на предоставление поддержки;</w:t>
            </w:r>
          </w:p>
          <w:p w14:paraId="74E7B3B0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учредительный договор (при наличии);</w:t>
            </w:r>
          </w:p>
          <w:p w14:paraId="77E55B26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lastRenderedPageBreak/>
              <w:t>устав (в последней редакции), включая все внесения изменений в Устав;</w:t>
            </w:r>
          </w:p>
          <w:p w14:paraId="34E6B685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лист записи из ЕГРЮЛ о регистрации последней редакции Устава при отсутствии такой записи в предоставленной выписке из ЕГРЮЛ;</w:t>
            </w:r>
          </w:p>
          <w:p w14:paraId="11F4CD95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документы, подтверждающие полномочия единоличного исполнительного органа юридического лица;</w:t>
            </w:r>
          </w:p>
          <w:p w14:paraId="777F889E" w14:textId="77777777" w:rsidR="006B20E5" w:rsidRPr="00CE541D" w:rsidRDefault="006B20E5" w:rsidP="006B20E5">
            <w:pPr>
              <w:numPr>
                <w:ilvl w:val="0"/>
                <w:numId w:val="1"/>
              </w:numPr>
              <w:tabs>
                <w:tab w:val="left" w:pos="709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карточка образцов подписей и оттиска печати </w:t>
            </w:r>
            <w:r w:rsidRPr="00CE541D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>(по форме Фонда)</w:t>
            </w: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72A91E24" w14:textId="77777777" w:rsidR="000B128C" w:rsidRPr="00CE541D" w:rsidRDefault="006B20E5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hAnsi="Times New Roman" w:cs="Times New Roman"/>
                <w:kern w:val="1"/>
                <w:sz w:val="25"/>
                <w:szCs w:val="25"/>
              </w:rPr>
              <w:t>лицензии на право осуществления деятельности, подлежащей лицензированию (в случае их наличия).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CF637F3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  <w:p w14:paraId="6CCD3C44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8DF87D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5ECF1CA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3FE4FF7B" w14:textId="77777777" w:rsidR="00207E11" w:rsidRPr="00CE541D" w:rsidRDefault="000B128C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1.5.</w:t>
            </w: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Проверка наличия с</w:t>
            </w:r>
            <w:r w:rsidR="00207E11" w:rsidRPr="00CE541D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правки из ФНС</w:t>
            </w:r>
          </w:p>
          <w:p w14:paraId="4F29F02B" w14:textId="77777777" w:rsidR="000B128C" w:rsidRPr="00CE541D" w:rsidRDefault="00207E11" w:rsidP="00035F8C">
            <w:pPr>
              <w:pStyle w:val="ConsPlusNormal"/>
              <w:rPr>
                <w:rFonts w:eastAsia="Arial Unicode MS"/>
                <w:sz w:val="25"/>
                <w:szCs w:val="25"/>
                <w:lang w:eastAsia="zh-CN"/>
              </w:rPr>
            </w:pPr>
            <w:r w:rsidRPr="00CE541D">
              <w:rPr>
                <w:rFonts w:eastAsia="Arial Unicode MS"/>
                <w:sz w:val="25"/>
                <w:szCs w:val="25"/>
                <w:lang w:eastAsia="zh-CN"/>
              </w:rPr>
              <w:t>П</w:t>
            </w:r>
            <w:r w:rsidR="000B128C" w:rsidRPr="00CE541D">
              <w:rPr>
                <w:rFonts w:eastAsia="Arial Unicode MS"/>
                <w:sz w:val="25"/>
                <w:szCs w:val="25"/>
                <w:lang w:eastAsia="zh-CN"/>
              </w:rPr>
              <w:t xml:space="preserve">одтверждающей отсутствие у </w:t>
            </w:r>
            <w:r w:rsidR="000B128C" w:rsidRPr="00CE541D">
              <w:rPr>
                <w:rFonts w:eastAsia="Times New Roman"/>
                <w:kern w:val="1"/>
                <w:sz w:val="25"/>
                <w:szCs w:val="25"/>
                <w:lang w:eastAsia="ru-RU"/>
              </w:rPr>
              <w:t xml:space="preserve">Субъекта МСП </w:t>
            </w:r>
            <w:r w:rsidR="000B128C" w:rsidRPr="00CE541D">
              <w:rPr>
                <w:rFonts w:eastAsia="Arial Unicode MS"/>
                <w:sz w:val="25"/>
                <w:szCs w:val="25"/>
                <w:lang w:eastAsia="zh-CN"/>
              </w:rPr>
              <w:t>просроченной (неурегулированной) задолженности по налогам, сборам и иным обязательным платежам перед бюджетами всех уровней (Справка действительна в течение 30 дней с даты ее выдачи).</w:t>
            </w:r>
            <w:r w:rsidR="00035F8C" w:rsidRPr="00CE541D">
              <w:rPr>
                <w:rFonts w:eastAsia="Arial Unicode MS"/>
                <w:sz w:val="25"/>
                <w:szCs w:val="25"/>
                <w:lang w:eastAsia="zh-CN"/>
              </w:rPr>
              <w:t xml:space="preserve"> </w:t>
            </w:r>
            <w:r w:rsidR="00035F8C" w:rsidRPr="00CE541D">
              <w:rPr>
                <w:rFonts w:eastAsia="Calibri"/>
                <w:bCs/>
                <w:sz w:val="25"/>
                <w:szCs w:val="25"/>
                <w:lang w:eastAsia="ru-RU"/>
              </w:rPr>
              <w:t>Допускается принятие решения о предоставлении поручительства Фондом без предоставления данной справки с отлагательным условием предоставления актуальной справки до выдачи поручительства Фондом. Допускается предоставление Субъектом МСП или Банком справки из ФНС России в электронном виде, подписанной усиленной квалифицированной электронной подписью уполномоченного работника ФНС, с приложением сертификата такой электронной подписи.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16EF7D56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7CA80C4D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801B28" w:rsidRPr="00CE541D" w14:paraId="27613D7A" w14:textId="77777777" w:rsidTr="00405C1B">
        <w:trPr>
          <w:trHeight w:val="132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7E04AA1F" w14:textId="77777777" w:rsidR="00801B28" w:rsidRPr="00CE541D" w:rsidRDefault="00801B28" w:rsidP="00801B28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E541D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 xml:space="preserve">1.6. </w:t>
            </w:r>
            <w:r w:rsidRPr="00CE541D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Упрощенная оценка кредитного риска, проверка комплектности Заявки Субъекта МСП и требования в рамках Механизма: </w:t>
            </w:r>
          </w:p>
          <w:p w14:paraId="13FF5C01" w14:textId="77777777" w:rsidR="00801B28" w:rsidRPr="00CE541D" w:rsidRDefault="00801B28" w:rsidP="00801B2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sz w:val="25"/>
                <w:szCs w:val="25"/>
              </w:rPr>
              <w:t xml:space="preserve">- соответствие </w:t>
            </w:r>
            <w:proofErr w:type="spellStart"/>
            <w:r w:rsidRPr="00CE541D">
              <w:rPr>
                <w:rFonts w:ascii="Times New Roman" w:hAnsi="Times New Roman" w:cs="Times New Roman"/>
                <w:sz w:val="25"/>
                <w:szCs w:val="25"/>
              </w:rPr>
              <w:t>подсегмента</w:t>
            </w:r>
            <w:proofErr w:type="spellEnd"/>
            <w:r w:rsidRPr="00CE541D">
              <w:rPr>
                <w:rFonts w:ascii="Times New Roman" w:hAnsi="Times New Roman" w:cs="Times New Roman"/>
                <w:sz w:val="25"/>
                <w:szCs w:val="25"/>
              </w:rPr>
              <w:t xml:space="preserve"> (сегмента) Субъекта МСП, кредитного продукта и использованной банком рейтинговой модели банка; </w:t>
            </w:r>
          </w:p>
          <w:p w14:paraId="467945D7" w14:textId="77777777" w:rsidR="00801B28" w:rsidRPr="00CE541D" w:rsidRDefault="00801B28" w:rsidP="00801B2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sz w:val="25"/>
                <w:szCs w:val="25"/>
              </w:rPr>
              <w:t>- соответствие лимита единовременного выдаваемого поручительства;</w:t>
            </w:r>
          </w:p>
          <w:p w14:paraId="35791AC7" w14:textId="77777777" w:rsidR="00801B28" w:rsidRPr="00CE541D" w:rsidRDefault="00801B28" w:rsidP="00801B2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sz w:val="25"/>
                <w:szCs w:val="25"/>
              </w:rPr>
              <w:t>- соответствие предельному размеру ответственности Фонда в рамках Механизма;</w:t>
            </w:r>
          </w:p>
          <w:p w14:paraId="02051DB0" w14:textId="77777777" w:rsidR="00801B28" w:rsidRPr="00CE541D" w:rsidRDefault="00801B28" w:rsidP="00801B2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sz w:val="25"/>
                <w:szCs w:val="25"/>
              </w:rPr>
              <w:t>- соответствие требованиям к комплектности документов по заявке перечню документов, предоставляемых Банком-партнером в рамках Механизма;</w:t>
            </w:r>
          </w:p>
          <w:p w14:paraId="195090CD" w14:textId="77777777" w:rsidR="00801B28" w:rsidRPr="00CE541D" w:rsidRDefault="00801B28" w:rsidP="00801B2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E541D">
              <w:rPr>
                <w:rFonts w:ascii="Times New Roman" w:hAnsi="Times New Roman" w:cs="Times New Roman"/>
                <w:sz w:val="25"/>
                <w:szCs w:val="25"/>
              </w:rPr>
              <w:t>- проверка рейтинга Субъекта МСП на предмет не превышения рейтинга Субъекта МСП установленным предельным значениям рейтинговой шкалы Банка (устанавливается Фондом с учетом решения АО «Корпорация «МСП»);</w:t>
            </w:r>
          </w:p>
          <w:p w14:paraId="42CFD43A" w14:textId="77777777" w:rsidR="00801B28" w:rsidRPr="00CE541D" w:rsidRDefault="00801B28" w:rsidP="009A6B5C">
            <w:pPr>
              <w:spacing w:after="0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hAnsi="Times New Roman" w:cs="Times New Roman"/>
                <w:sz w:val="25"/>
                <w:szCs w:val="25"/>
              </w:rPr>
              <w:t>- проверка дополнительных условий, соблюдение которых необходимо для предоставления поручительства, установленных в зависимости от значения рейтинга Субъекта МСП (срок поручительств, предельный срок кредитов в привязке к рейтингу, максимальная сумма и др.)</w:t>
            </w:r>
            <w:r w:rsidR="009A6B5C" w:rsidRPr="00CE541D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  <w:r w:rsidR="009A6B5C" w:rsidRPr="00CE541D">
              <w:rPr>
                <w:rFonts w:ascii="Times New Roman" w:hAnsi="Times New Roman" w:cs="Times New Roman"/>
                <w:bCs/>
                <w:sz w:val="25"/>
                <w:szCs w:val="25"/>
              </w:rPr>
              <w:t>Предусмотрена возможность приостановления срока в случае необходимости дополнительных запросов Службой безопасности или юридической службой Фонда.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3A0D980D" w14:textId="77777777" w:rsidR="00801B28" w:rsidRPr="00CE541D" w:rsidRDefault="00801B2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368F028A" w14:textId="77777777" w:rsidR="00801B28" w:rsidRPr="00CE541D" w:rsidRDefault="00801B28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B128C" w:rsidRPr="00CE541D" w14:paraId="571F3623" w14:textId="77777777" w:rsidTr="00405C1B">
        <w:trPr>
          <w:jc w:val="center"/>
        </w:trPr>
        <w:tc>
          <w:tcPr>
            <w:tcW w:w="12328" w:type="dxa"/>
            <w:tcBorders>
              <w:bottom w:val="dotted" w:sz="4" w:space="0" w:color="auto"/>
            </w:tcBorders>
            <w:shd w:val="clear" w:color="auto" w:fill="auto"/>
          </w:tcPr>
          <w:p w14:paraId="588046E3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2. Проверка соответствия</w:t>
            </w:r>
            <w:r w:rsidR="00362C6B"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Субъекта МСП требованиям Закона 209-ФЗ включая в обязательн</w:t>
            </w:r>
            <w:r w:rsidR="00207E11"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ом порядке требования статьи 14</w:t>
            </w:r>
          </w:p>
          <w:p w14:paraId="4C2C5CF0" w14:textId="77777777" w:rsidR="000B128C" w:rsidRPr="00CE541D" w:rsidRDefault="000B128C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lastRenderedPageBreak/>
              <w:t xml:space="preserve">2.1. 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Проверка</w:t>
            </w:r>
            <w:r w:rsidR="00362C6B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осуществляется на основании сведений из Единого Реестра субъектов малого и среднего предпринимательства.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</w:tcPr>
          <w:p w14:paraId="5CF6414C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14:paraId="6E33DFD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2C3D5081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6CC071" w14:textId="77777777" w:rsidR="000B128C" w:rsidRPr="00CE541D" w:rsidRDefault="000B128C" w:rsidP="00362C6B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2.2.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Проверка соответствия размера доли участия в акционерном обществе хозяйствующего субъекта требованиям статьи 4 Закона 209-ФЗ. </w:t>
            </w:r>
          </w:p>
          <w:p w14:paraId="5E1FA62F" w14:textId="77777777" w:rsidR="000B128C" w:rsidRPr="00CE541D" w:rsidRDefault="000B128C" w:rsidP="00362C6B">
            <w:pPr>
              <w:tabs>
                <w:tab w:val="left" w:pos="1418"/>
                <w:tab w:val="left" w:pos="1701"/>
              </w:tabs>
              <w:suppressAutoHyphens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Данная проверка осуществляется на основании одного из документов: </w:t>
            </w:r>
          </w:p>
          <w:p w14:paraId="7F3751EE" w14:textId="77777777" w:rsidR="000B128C" w:rsidRPr="00CE541D" w:rsidRDefault="000B128C" w:rsidP="000B128C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выписки из ЕГРЮЛ;</w:t>
            </w:r>
          </w:p>
          <w:p w14:paraId="084F1724" w14:textId="77777777" w:rsidR="000B128C" w:rsidRPr="00CE541D" w:rsidRDefault="000B128C" w:rsidP="00362C6B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выписки из реестра акционеров хозяйствующего субъекта (в случае, если в выписке указаны номинальные держатели – дополнительный документ, раскрывающий состав акционеров).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378755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4FBE1E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B128C" w:rsidRPr="00CE541D" w14:paraId="5912EE85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474622E7" w14:textId="77777777" w:rsidR="000B128C" w:rsidRPr="00CE541D" w:rsidRDefault="000B128C" w:rsidP="00362C6B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2.3.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Проверка соответствия Субъекта МСП ограничениям, установленным статьей 14 Закона 209-ФЗ.</w:t>
            </w:r>
          </w:p>
          <w:p w14:paraId="68B5E10A" w14:textId="77777777" w:rsidR="000B128C" w:rsidRPr="00CE541D" w:rsidRDefault="000B128C" w:rsidP="00362C6B">
            <w:pPr>
              <w:tabs>
                <w:tab w:val="left" w:pos="708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Данная прове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рка осуществляется на основании:</w:t>
            </w:r>
          </w:p>
          <w:p w14:paraId="248736C5" w14:textId="77777777" w:rsidR="000B128C" w:rsidRPr="00CE541D" w:rsidRDefault="000B128C" w:rsidP="00362C6B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ЕГРЮЛ/ЕГРИП;</w:t>
            </w:r>
          </w:p>
          <w:p w14:paraId="724CD9E3" w14:textId="77777777" w:rsidR="000B128C" w:rsidRPr="00CE541D" w:rsidRDefault="000B128C" w:rsidP="000B128C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д на жительство в Российской Федерации (для ИП – иностранных граждан)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094FCDC2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55953B5B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207E11" w:rsidRPr="00CE541D" w14:paraId="0B6E2596" w14:textId="77777777" w:rsidTr="0006035E">
        <w:trPr>
          <w:trHeight w:val="585"/>
          <w:jc w:val="center"/>
        </w:trPr>
        <w:tc>
          <w:tcPr>
            <w:tcW w:w="12328" w:type="dxa"/>
            <w:shd w:val="clear" w:color="auto" w:fill="auto"/>
          </w:tcPr>
          <w:p w14:paraId="465543B3" w14:textId="77777777" w:rsidR="00207E11" w:rsidRPr="00CE541D" w:rsidRDefault="00207E11" w:rsidP="00F11E4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3. Проверка деятельности Субъекта МСП и связанных с ним лиц (деловая репутация)</w:t>
            </w:r>
          </w:p>
          <w:p w14:paraId="50130CA2" w14:textId="77777777" w:rsidR="00207E11" w:rsidRPr="00CE541D" w:rsidRDefault="00207E11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3.1.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Оценка деловой репутации Субъекта МСП, его участников и руководителей, а также поручителей.</w:t>
            </w:r>
          </w:p>
        </w:tc>
        <w:tc>
          <w:tcPr>
            <w:tcW w:w="1134" w:type="dxa"/>
            <w:shd w:val="clear" w:color="auto" w:fill="auto"/>
          </w:tcPr>
          <w:p w14:paraId="05D87E31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5D6DE162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shd w:val="clear" w:color="auto" w:fill="auto"/>
          </w:tcPr>
          <w:p w14:paraId="5B6C66A9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68AB371C" w14:textId="77777777" w:rsidR="00207E11" w:rsidRPr="00CE541D" w:rsidRDefault="00207E11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74317BB2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A49B00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3.2.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Подтверждение регистрационных данных Субъекта МСП.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DB089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1E68963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71CDC69B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63489D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3.3.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вовлеченности/</w:t>
            </w:r>
            <w:proofErr w:type="spellStart"/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невовлеченности</w:t>
            </w:r>
            <w:proofErr w:type="spellEnd"/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Субъекта МСП в судебные разбирательства в качестве ответчика.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E566B5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BA20605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00DFFF90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490B83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3.4.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действительности предоставляемых паспортов руководителей, участников Субъекта МСП.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4B8D4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78FF1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575E0301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C5BECBD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3.5.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Проверка наличия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негативной информации о Субъекте МСП, его руководителях, участниках, членах органов управления, аффилированных лицах, дочерних и зависимых организациях в СМИ.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95D5B1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33D422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2627DFCD" w14:textId="77777777" w:rsidTr="00405C1B">
        <w:trPr>
          <w:trHeight w:val="274"/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A6115C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3.6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 Проверка адреса регистрации Субъекта МСП на наличие в особых реестрах ФНС.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F4C1A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B5E53B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73F270AB" w14:textId="77777777" w:rsidTr="00405C1B">
        <w:trPr>
          <w:trHeight w:val="559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62C18D5E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3.7.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наличия исполнительных производств ФССП как в отношении Субъекта МСП, так и в отношении его участников и руководителей, а также поручителей.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36593D72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18970047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02ADED04" w14:textId="77777777" w:rsidTr="00405C1B">
        <w:trPr>
          <w:trHeight w:val="559"/>
          <w:jc w:val="center"/>
        </w:trPr>
        <w:tc>
          <w:tcPr>
            <w:tcW w:w="12328" w:type="dxa"/>
            <w:tcBorders>
              <w:top w:val="dotted" w:sz="4" w:space="0" w:color="auto"/>
            </w:tcBorders>
            <w:shd w:val="clear" w:color="auto" w:fill="auto"/>
          </w:tcPr>
          <w:p w14:paraId="36D937E6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3.8. 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 кого-либо из Группы связанных Контрагентов</w:t>
            </w:r>
            <w:r w:rsidR="00207E11"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</w:t>
            </w:r>
            <w:r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 единых информационных реестрах</w:t>
            </w:r>
            <w:r w:rsidR="00207E11" w:rsidRPr="00CE541D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</w:tcPr>
          <w:p w14:paraId="46423C0F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uto"/>
          </w:tcPr>
          <w:p w14:paraId="7606EC8E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49EAB4F0" w14:textId="77777777" w:rsidTr="00405C1B">
        <w:trPr>
          <w:jc w:val="center"/>
        </w:trPr>
        <w:tc>
          <w:tcPr>
            <w:tcW w:w="12328" w:type="dxa"/>
            <w:tcBorders>
              <w:bottom w:val="dotted" w:sz="4" w:space="0" w:color="auto"/>
            </w:tcBorders>
            <w:shd w:val="clear" w:color="auto" w:fill="auto"/>
          </w:tcPr>
          <w:p w14:paraId="656A5571" w14:textId="77777777" w:rsidR="000B128C" w:rsidRPr="00CE541D" w:rsidRDefault="000B128C" w:rsidP="00F11E43">
            <w:pPr>
              <w:tabs>
                <w:tab w:val="num" w:pos="14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4. </w:t>
            </w: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Экспертиза правоспособности Субъекта МСП без оценки правоспособнос</w:t>
            </w:r>
            <w:r w:rsidR="00207E11"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ти связанных/аффилированных лиц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</w:tcPr>
          <w:p w14:paraId="3B5CC996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shd w:val="clear" w:color="auto" w:fill="auto"/>
          </w:tcPr>
          <w:p w14:paraId="71AE61CC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CE541D" w14:paraId="6A94ED53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2C2F55" w14:textId="77777777" w:rsidR="000B128C" w:rsidRPr="00CE541D" w:rsidRDefault="000B128C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4.1.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правоспособности Субъекта МСП.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20A90B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01EAAE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0B128C" w:rsidRPr="00E943AF" w14:paraId="17CC1991" w14:textId="77777777" w:rsidTr="00405C1B">
        <w:trPr>
          <w:jc w:val="center"/>
        </w:trPr>
        <w:tc>
          <w:tcPr>
            <w:tcW w:w="1232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E617A5E" w14:textId="77777777" w:rsidR="000B128C" w:rsidRPr="00CE541D" w:rsidRDefault="000B128C" w:rsidP="00207E1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CE541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4.2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Проверка полномочий должностных лиц Субъекта МСП на подписание 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Д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оговора 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оручительства, а также подтверждение или опровержение необходимости одобрения </w:t>
            </w:r>
            <w:r w:rsidR="00207E11"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Договора п</w:t>
            </w:r>
            <w:r w:rsidRPr="00CE541D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оручительства уполномоченными органами Субъекта МСП.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CA05399" w14:textId="77777777" w:rsidR="000B128C" w:rsidRPr="00CE541D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DB3DA58" w14:textId="77777777" w:rsidR="000B128C" w:rsidRPr="00E943AF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CE541D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</w:tbl>
    <w:p w14:paraId="0BFDA0FA" w14:textId="77777777" w:rsidR="000B128C" w:rsidRPr="00417F78" w:rsidRDefault="000B128C" w:rsidP="000B128C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C154D5F" w14:textId="77777777" w:rsidR="00661451" w:rsidRDefault="00661451" w:rsidP="000B128C"/>
    <w:sectPr w:rsidR="00661451" w:rsidSect="00C24B1A">
      <w:footerReference w:type="default" r:id="rId7"/>
      <w:pgSz w:w="16838" w:h="11906" w:orient="landscape"/>
      <w:pgMar w:top="1276" w:right="1134" w:bottom="850" w:left="1134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7AE6" w14:textId="77777777" w:rsidR="005C22A7" w:rsidRDefault="005C22A7" w:rsidP="00C24B1A">
      <w:pPr>
        <w:spacing w:after="0" w:line="240" w:lineRule="auto"/>
      </w:pPr>
      <w:r>
        <w:separator/>
      </w:r>
    </w:p>
  </w:endnote>
  <w:endnote w:type="continuationSeparator" w:id="0">
    <w:p w14:paraId="578B473D" w14:textId="77777777" w:rsidR="005C22A7" w:rsidRDefault="005C22A7" w:rsidP="00C2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6497825"/>
      <w:docPartObj>
        <w:docPartGallery w:val="Page Numbers (Bottom of Page)"/>
        <w:docPartUnique/>
      </w:docPartObj>
    </w:sdtPr>
    <w:sdtContent>
      <w:p w14:paraId="2754CEEF" w14:textId="10FBE8BA" w:rsidR="00C24B1A" w:rsidRDefault="00C24B1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6B54BF" w14:textId="77777777" w:rsidR="00C24B1A" w:rsidRDefault="00C24B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AACB" w14:textId="77777777" w:rsidR="005C22A7" w:rsidRDefault="005C22A7" w:rsidP="00C24B1A">
      <w:pPr>
        <w:spacing w:after="0" w:line="240" w:lineRule="auto"/>
      </w:pPr>
      <w:r>
        <w:separator/>
      </w:r>
    </w:p>
  </w:footnote>
  <w:footnote w:type="continuationSeparator" w:id="0">
    <w:p w14:paraId="6DB6E5A5" w14:textId="77777777" w:rsidR="005C22A7" w:rsidRDefault="005C22A7" w:rsidP="00C24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D4B2E90"/>
    <w:multiLevelType w:val="hybridMultilevel"/>
    <w:tmpl w:val="F9A6E556"/>
    <w:lvl w:ilvl="0" w:tplc="AB265D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815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03C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A28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DA42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0E9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6FF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438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6ABB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4648444">
    <w:abstractNumId w:val="0"/>
  </w:num>
  <w:num w:numId="2" w16cid:durableId="957684460">
    <w:abstractNumId w:val="1"/>
  </w:num>
  <w:num w:numId="3" w16cid:durableId="267665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8C"/>
    <w:rsid w:val="00016B23"/>
    <w:rsid w:val="00035F8C"/>
    <w:rsid w:val="000B128C"/>
    <w:rsid w:val="000E0233"/>
    <w:rsid w:val="00194877"/>
    <w:rsid w:val="001C3775"/>
    <w:rsid w:val="00207E11"/>
    <w:rsid w:val="00227C75"/>
    <w:rsid w:val="002435A1"/>
    <w:rsid w:val="00254549"/>
    <w:rsid w:val="00362C6B"/>
    <w:rsid w:val="00405C1B"/>
    <w:rsid w:val="00460CC7"/>
    <w:rsid w:val="005C22A7"/>
    <w:rsid w:val="00661451"/>
    <w:rsid w:val="006B20E5"/>
    <w:rsid w:val="007512F2"/>
    <w:rsid w:val="007C4BD0"/>
    <w:rsid w:val="00801B28"/>
    <w:rsid w:val="008E3B03"/>
    <w:rsid w:val="009A6B5C"/>
    <w:rsid w:val="00A06CBD"/>
    <w:rsid w:val="00A12E07"/>
    <w:rsid w:val="00AA2F0C"/>
    <w:rsid w:val="00B059F7"/>
    <w:rsid w:val="00B50237"/>
    <w:rsid w:val="00B62981"/>
    <w:rsid w:val="00B86BA7"/>
    <w:rsid w:val="00C24B1A"/>
    <w:rsid w:val="00CE541D"/>
    <w:rsid w:val="00E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0F410"/>
  <w15:chartTrackingRefBased/>
  <w15:docId w15:val="{D09B48F4-6EC9-4075-BBBD-694793EE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F8C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A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2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B1A"/>
  </w:style>
  <w:style w:type="paragraph" w:styleId="a6">
    <w:name w:val="footer"/>
    <w:basedOn w:val="a"/>
    <w:link w:val="a7"/>
    <w:uiPriority w:val="99"/>
    <w:unhideWhenUsed/>
    <w:rsid w:val="00C2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3</cp:revision>
  <dcterms:created xsi:type="dcterms:W3CDTF">2021-05-19T09:43:00Z</dcterms:created>
  <dcterms:modified xsi:type="dcterms:W3CDTF">2022-08-15T11:10:00Z</dcterms:modified>
</cp:coreProperties>
</file>