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F5" w:rsidRPr="008259F5" w:rsidRDefault="008259F5" w:rsidP="008259F5">
      <w:pPr>
        <w:spacing w:after="0" w:line="240" w:lineRule="auto"/>
        <w:ind w:left="-5" w:hanging="10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Памятка и критерии самооценки для компаний – субъектов малого и</w:t>
      </w:r>
      <w:r w:rsidRPr="008259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9F5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среднего предпринимательства</w:t>
      </w:r>
      <w:r w:rsidRPr="008259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59F5" w:rsidRPr="008259F5" w:rsidRDefault="008259F5" w:rsidP="008259F5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Памятка и критерии самооценки для компаний представляют собой инструмент для проведения первичной самооценки компаниями – субъектами малого и среднего предпринимательства (далее – Критерии самооценки, МСП). </w:t>
      </w:r>
    </w:p>
    <w:p w:rsidR="008259F5" w:rsidRPr="008259F5" w:rsidRDefault="008259F5" w:rsidP="008259F5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Самооценка компанией является первым этапом и не гарантирует выход компаний на фондовый рынок.  </w:t>
      </w:r>
    </w:p>
    <w:p w:rsidR="008259F5" w:rsidRPr="008259F5" w:rsidRDefault="008259F5" w:rsidP="008259F5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Компаниям рекомендуется осуществлять предварительную самооценку, изложенную в разделе «Критерии самооценки компаний». </w:t>
      </w:r>
    </w:p>
    <w:p w:rsidR="008259F5" w:rsidRPr="008259F5" w:rsidRDefault="008259F5" w:rsidP="008259F5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В случае соответствия компании критериям самооценки, компании рекомендуется обратиться для консультирования к одному из брокеров – организаторов размещения облигаций. Список брокеров можно найти на сайте: </w:t>
      </w:r>
    </w:p>
    <w:p w:rsidR="008259F5" w:rsidRPr="008259F5" w:rsidRDefault="008259F5" w:rsidP="008259F5">
      <w:pPr>
        <w:numPr>
          <w:ilvl w:val="2"/>
          <w:numId w:val="2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Банка России </w:t>
      </w:r>
      <w:hyperlink r:id="rId7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http</w:t>
        </w:r>
      </w:hyperlink>
      <w:hyperlink r:id="rId8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://</w:t>
        </w:r>
      </w:hyperlink>
      <w:hyperlink r:id="rId9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www</w:t>
        </w:r>
      </w:hyperlink>
      <w:hyperlink r:id="rId10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.</w:t>
        </w:r>
      </w:hyperlink>
      <w:hyperlink r:id="rId11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cbr</w:t>
        </w:r>
      </w:hyperlink>
      <w:hyperlink r:id="rId12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.</w:t>
        </w:r>
      </w:hyperlink>
      <w:hyperlink r:id="rId13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ru</w:t>
        </w:r>
      </w:hyperlink>
      <w:hyperlink r:id="rId14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/</w:t>
        </w:r>
      </w:hyperlink>
      <w:hyperlink r:id="rId15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finmarket</w:t>
        </w:r>
      </w:hyperlink>
      <w:hyperlink r:id="rId16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/</w:t>
        </w:r>
      </w:hyperlink>
      <w:hyperlink r:id="rId17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registries</w:t>
        </w:r>
      </w:hyperlink>
      <w:hyperlink r:id="rId18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/</w:t>
        </w:r>
      </w:hyperlink>
      <w:hyperlink r:id="rId19">
        <w:r w:rsidRPr="008259F5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9F5" w:rsidRPr="008259F5" w:rsidRDefault="008259F5" w:rsidP="008259F5">
      <w:pPr>
        <w:numPr>
          <w:ilvl w:val="2"/>
          <w:numId w:val="2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СРО «Национальная финансовая ассоциация» </w:t>
      </w:r>
      <w:r w:rsidRPr="008259F5">
        <w:rPr>
          <w:rFonts w:ascii="Times New Roman" w:eastAsia="Times New Roman" w:hAnsi="Times New Roman" w:cs="Times New Roman"/>
          <w:color w:val="0563C1"/>
          <w:sz w:val="28"/>
          <w:szCs w:val="28"/>
          <w:u w:val="single" w:color="0563C1"/>
        </w:rPr>
        <w:t>new.nfa.ru</w:t>
      </w:r>
      <w:r w:rsidRPr="008259F5">
        <w:rPr>
          <w:rFonts w:ascii="Times New Roman" w:eastAsia="Times New Roman" w:hAnsi="Times New Roman" w:cs="Times New Roman"/>
          <w:color w:val="0563C1"/>
          <w:sz w:val="28"/>
          <w:szCs w:val="28"/>
          <w:vertAlign w:val="superscript"/>
        </w:rPr>
        <w:footnoteReference w:id="1"/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259F5" w:rsidRPr="008259F5" w:rsidRDefault="008259F5" w:rsidP="008259F5">
      <w:pPr>
        <w:numPr>
          <w:ilvl w:val="2"/>
          <w:numId w:val="2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СРО «Национальная ассоциация участников фондового рынка» </w:t>
      </w:r>
      <w:r w:rsidRPr="008259F5">
        <w:rPr>
          <w:rFonts w:ascii="Times New Roman" w:eastAsia="Times New Roman" w:hAnsi="Times New Roman" w:cs="Times New Roman"/>
          <w:color w:val="0563C1"/>
          <w:sz w:val="28"/>
          <w:szCs w:val="28"/>
          <w:u w:val="single" w:color="0563C1"/>
        </w:rPr>
        <w:t>https:/naufor.ru</w:t>
      </w:r>
      <w:r w:rsidRPr="008259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259F5" w:rsidRPr="008259F5" w:rsidRDefault="008259F5" w:rsidP="008259F5">
      <w:pPr>
        <w:spacing w:after="0" w:line="240" w:lineRule="auto"/>
        <w:ind w:left="-15" w:firstLine="4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Также можно обратиться напрямую на биржу, как торговую площадку, организующую размещение и торги облигациями: </w:t>
      </w:r>
    </w:p>
    <w:p w:rsidR="008259F5" w:rsidRPr="008259F5" w:rsidRDefault="008259F5" w:rsidP="008259F5">
      <w:pPr>
        <w:numPr>
          <w:ilvl w:val="2"/>
          <w:numId w:val="2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ПАО Московская Биржа </w:t>
      </w:r>
      <w:r w:rsidRPr="008259F5">
        <w:rPr>
          <w:rFonts w:ascii="Times New Roman" w:eastAsia="Times New Roman" w:hAnsi="Times New Roman" w:cs="Times New Roman"/>
          <w:color w:val="0563C1"/>
          <w:sz w:val="28"/>
          <w:szCs w:val="28"/>
          <w:u w:val="single" w:color="0563C1"/>
        </w:rPr>
        <w:t>rost@moex.com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259F5" w:rsidRPr="008259F5" w:rsidRDefault="008259F5" w:rsidP="008259F5">
      <w:pPr>
        <w:numPr>
          <w:ilvl w:val="2"/>
          <w:numId w:val="2"/>
        </w:numPr>
        <w:spacing w:after="0" w:line="240" w:lineRule="auto"/>
        <w:ind w:hanging="360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ПАО «Санкт-Петербургская биржа» тел. +7 (495) 899-01-70-70. </w:t>
      </w:r>
    </w:p>
    <w:p w:rsidR="008259F5" w:rsidRPr="008259F5" w:rsidRDefault="008259F5" w:rsidP="008259F5">
      <w:pPr>
        <w:spacing w:after="0" w:line="240" w:lineRule="auto"/>
        <w:ind w:right="7848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9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59F5" w:rsidRPr="008259F5" w:rsidRDefault="008259F5" w:rsidP="008259F5">
      <w:pPr>
        <w:spacing w:after="0" w:line="240" w:lineRule="auto"/>
        <w:ind w:left="-5" w:hanging="10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Критерии самооценки компаний</w:t>
      </w:r>
      <w:r w:rsidRPr="008259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Компания является субъектом МСП, что подтверждается наличием сведений о ней в едином реестре субъектов малого и среднего предпринимательства </w:t>
      </w:r>
      <w:hyperlink r:id="rId20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https://rmsp.nalog.ru/</w:t>
        </w:r>
      </w:hyperlink>
      <w:hyperlink r:id="rId21">
        <w:r w:rsidRPr="008259F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на последнюю доступную дату. </w:t>
      </w:r>
    </w:p>
    <w:p w:rsid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В видах деятельности компании отсутствуют такие виды деятельности, как производство и (или) реализация подакцизных товаров; добыча и (или) реализация полезных ископаемых, за исключением общераспространенных полезных ископаемых. Компания не является: кредитной организацией, страховой организацией и микрофинансовой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 участником соглашений о разделе продукции; организацией, осуществляющей предпринимательскую деятельность в сфере игорного бизнеса. 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>Срок «жизни» компании составляет не менее 3 лет. Параметр проверяется по дате регистрации компании (дату можно проверить в учредительных документах, либо в выписке из единого государственного реестра юридических лиц (ЕГРЮЛ</w:t>
      </w:r>
      <w:r w:rsidRPr="008259F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hyperlink r:id="rId22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https://egrul.nalog.ru/</w:t>
        </w:r>
      </w:hyperlink>
      <w:hyperlink r:id="rId23">
        <w:r w:rsidRPr="008259F5">
          <w:rPr>
            <w:rFonts w:ascii="Times New Roman" w:eastAsia="Times New Roman" w:hAnsi="Times New Roman" w:cs="Times New Roman"/>
            <w:sz w:val="28"/>
            <w:szCs w:val="28"/>
          </w:rPr>
          <w:t>)</w:t>
        </w:r>
      </w:hyperlink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Компания не находится в состоянии ликвидации или реорганизации. Проверку параметра можно осуществить с помощью сервиса Федеральной налоговой службы «Сообщения юридических лиц, опубликованные в журнале «Вестник государственной регистрации» по адресу: </w:t>
      </w:r>
      <w:r w:rsidRPr="008259F5">
        <w:rPr>
          <w:rFonts w:ascii="Times New Roman" w:eastAsia="Times New Roman" w:hAnsi="Times New Roman" w:cs="Times New Roman"/>
          <w:color w:val="0563C1"/>
          <w:sz w:val="28"/>
          <w:szCs w:val="28"/>
          <w:u w:val="single" w:color="0563C1"/>
        </w:rPr>
        <w:t>https://www.vestnik-gosreg.ru/publ/vgr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компании отсутствует задолженность по уплате налогов. Проверку параметра можно осуществить с помощью сервиса Федеральной налоговой службы: </w:t>
      </w:r>
      <w:r w:rsidRPr="008259F5">
        <w:rPr>
          <w:rFonts w:ascii="Times New Roman" w:eastAsia="Times New Roman" w:hAnsi="Times New Roman" w:cs="Times New Roman"/>
          <w:color w:val="0563C1"/>
          <w:sz w:val="28"/>
          <w:szCs w:val="28"/>
          <w:u w:val="single" w:color="0563C1"/>
        </w:rPr>
        <w:t>https://service.nalog.ru/zd.do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компании не дисквалифицированы, адрес компании не фигурирует в адресах массовой регистрации компаний. Проверку параметра можно осуществить с помощью сервиса Федеральной налоговой службы «Прозрачный бизнес»: </w:t>
      </w:r>
      <w:r w:rsidRPr="008259F5">
        <w:rPr>
          <w:rFonts w:ascii="Times New Roman" w:eastAsia="Times New Roman" w:hAnsi="Times New Roman" w:cs="Times New Roman"/>
          <w:color w:val="0563C1"/>
          <w:sz w:val="28"/>
          <w:szCs w:val="28"/>
          <w:u w:val="single" w:color="0563C1"/>
        </w:rPr>
        <w:t>https://pb.nalog.ru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Компания не является зависимой компанией государственной компании. Параметр подтверждается учредительными документами, сведения можно проверить сервисом единого государственного реестра юридических лиц </w:t>
      </w:r>
      <w:hyperlink r:id="rId24">
        <w:r w:rsidRPr="008259F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 w:color="0563C1"/>
          </w:rPr>
          <w:t>http://egrul.nalog.ru/index.html</w:t>
        </w:r>
      </w:hyperlink>
      <w:hyperlink r:id="rId25">
        <w:r w:rsidRPr="008259F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У компании отсутствует отрицательная кредитная история, в том числе, нет просроченных платежей по кредитам свыше 30 дней в течение последних 180 календарных дней. Проверяется запросом в Бюро кредитных историй.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Выручка за предыдущий календарный год составляет от 120 млн. </w:t>
      </w:r>
    </w:p>
    <w:p w:rsidR="008259F5" w:rsidRPr="008259F5" w:rsidRDefault="008259F5" w:rsidP="008259F5">
      <w:pPr>
        <w:spacing w:after="0" w:line="240" w:lineRule="auto"/>
        <w:ind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рублей до 2 млрд. рублей. Выручка определяется по форме «Отчет  о финансовых результатах» за последний календарный год, строка 2110.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Средний темп прироста выручки за последние три года составляет не менее 10%. Средний темп прироста выручки (СТПВ) за последние три года считается по формуле: </w:t>
      </w:r>
    </w:p>
    <w:p w:rsidR="008259F5" w:rsidRPr="008259F5" w:rsidRDefault="008259F5" w:rsidP="008259F5">
      <w:pPr>
        <w:spacing w:after="0" w:line="240" w:lineRule="auto"/>
        <w:ind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>СТПВ = (ПВ</w:t>
      </w:r>
      <w:r w:rsidRPr="008259F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>/ ПВ</w:t>
      </w:r>
      <w:r w:rsidRPr="008259F5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259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1/3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 – 1, где </w:t>
      </w:r>
    </w:p>
    <w:p w:rsidR="008259F5" w:rsidRPr="008259F5" w:rsidRDefault="008259F5" w:rsidP="008259F5">
      <w:pPr>
        <w:spacing w:after="0" w:line="240" w:lineRule="auto"/>
        <w:ind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>ПВ</w:t>
      </w:r>
      <w:r w:rsidRPr="008259F5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 – прирост выручки за первый год из трех анализируемых, например, за 2016 год, ПВ</w:t>
      </w:r>
      <w:r w:rsidRPr="008259F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– прирост выручки за последний год из трех анализируемых, например, за 2018 год. </w:t>
      </w:r>
    </w:p>
    <w:p w:rsidR="008259F5" w:rsidRPr="008259F5" w:rsidRDefault="008259F5" w:rsidP="008259F5">
      <w:pPr>
        <w:spacing w:after="0" w:line="240" w:lineRule="auto"/>
        <w:ind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Прирост выручки определяется по форме «Отчет о финансовых результатах», строка 2110.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Безубыточная деятельность в течение последних 3 лет. Чистая прибыль (убыток) определяется по форме «Отчет о финансовых результатах» за последние три года, строка 2400. Значение в строке 2400 должно быть положительным – отражаться без скобок.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>Рекомендуемая рентабельность бизнеса не менее 15%</w:t>
      </w:r>
      <w:r w:rsidRPr="008259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(за последний год и средняя за 3 последних года). Рентабельность бизнеса рассчитывается по формуле: </w:t>
      </w:r>
    </w:p>
    <w:p w:rsidR="008259F5" w:rsidRPr="008259F5" w:rsidRDefault="008259F5" w:rsidP="008259F5">
      <w:pPr>
        <w:spacing w:after="0" w:line="240" w:lineRule="auto"/>
        <w:ind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Рентабельность = (Прибыль до налогообложения / Выручка) * 100%, где Прибыль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ab/>
        <w:t xml:space="preserve">до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ab/>
        <w:t xml:space="preserve">налогообложения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ab/>
        <w:t xml:space="preserve">– строка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ab/>
        <w:t xml:space="preserve">2300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формы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ab/>
        <w:t xml:space="preserve">«Отчет  </w:t>
      </w:r>
    </w:p>
    <w:p w:rsidR="008259F5" w:rsidRPr="008259F5" w:rsidRDefault="008259F5" w:rsidP="008259F5">
      <w:pPr>
        <w:spacing w:after="0" w:line="240" w:lineRule="auto"/>
        <w:ind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>о ф</w:t>
      </w:r>
      <w:bookmarkStart w:id="0" w:name="_GoBack"/>
      <w:bookmarkEnd w:id="0"/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инансовых результатах» за календарный год, </w:t>
      </w:r>
    </w:p>
    <w:p w:rsidR="008259F5" w:rsidRPr="008259F5" w:rsidRDefault="008259F5" w:rsidP="008259F5">
      <w:pPr>
        <w:spacing w:after="0" w:line="240" w:lineRule="auto"/>
        <w:ind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Выручка – строка 2110 формы «Отчет о финансовых результатах»  за календарный год.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>Планируемый объем выпуска облигаций – от 100 млн. до 1 млрд</w:t>
      </w:r>
      <w:r w:rsidRPr="008259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средств – не менее 1 года и не более 3 лет. </w:t>
      </w:r>
    </w:p>
    <w:p w:rsidR="008259F5" w:rsidRPr="008259F5" w:rsidRDefault="008259F5" w:rsidP="008259F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259F5">
        <w:rPr>
          <w:rFonts w:ascii="Times New Roman" w:eastAsia="Times New Roman" w:hAnsi="Times New Roman" w:cs="Times New Roman"/>
          <w:sz w:val="28"/>
          <w:szCs w:val="28"/>
        </w:rPr>
        <w:t xml:space="preserve">Объем планируемого годового погашения облигаций (основной долг и процентные платежи) должен быть меньше годовой прибыли (средней за последние три года, строка 2400).  </w:t>
      </w:r>
    </w:p>
    <w:sectPr w:rsidR="008259F5" w:rsidRPr="008259F5" w:rsidSect="008259F5">
      <w:headerReference w:type="even" r:id="rId26"/>
      <w:headerReference w:type="default" r:id="rId27"/>
      <w:headerReference w:type="first" r:id="rId28"/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06" w:rsidRDefault="000B7506" w:rsidP="008259F5">
      <w:pPr>
        <w:spacing w:after="0" w:line="240" w:lineRule="auto"/>
      </w:pPr>
      <w:r>
        <w:separator/>
      </w:r>
    </w:p>
  </w:endnote>
  <w:endnote w:type="continuationSeparator" w:id="0">
    <w:p w:rsidR="000B7506" w:rsidRDefault="000B7506" w:rsidP="0082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06" w:rsidRDefault="000B7506" w:rsidP="008259F5">
      <w:pPr>
        <w:spacing w:after="0" w:line="240" w:lineRule="auto"/>
      </w:pPr>
      <w:r>
        <w:separator/>
      </w:r>
    </w:p>
  </w:footnote>
  <w:footnote w:type="continuationSeparator" w:id="0">
    <w:p w:rsidR="000B7506" w:rsidRDefault="000B7506" w:rsidP="008259F5">
      <w:pPr>
        <w:spacing w:after="0" w:line="240" w:lineRule="auto"/>
      </w:pPr>
      <w:r>
        <w:continuationSeparator/>
      </w:r>
    </w:p>
  </w:footnote>
  <w:footnote w:id="1">
    <w:p w:rsidR="008259F5" w:rsidRDefault="008259F5" w:rsidP="008259F5">
      <w:pPr>
        <w:pStyle w:val="footnotedescription"/>
      </w:pPr>
      <w:r>
        <w:rPr>
          <w:rStyle w:val="footnotemark"/>
        </w:rPr>
        <w:footnoteRef/>
      </w:r>
      <w:r>
        <w:t xml:space="preserve"> Реестр брокеров, взаимодействующих с субъектами МСП, будет предоставлен до 15 мая 2019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F5" w:rsidRDefault="008259F5">
    <w:pPr>
      <w:spacing w:after="0"/>
      <w:ind w:right="2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8259F5" w:rsidRDefault="008259F5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F5" w:rsidRDefault="008259F5">
    <w:pPr>
      <w:spacing w:after="0"/>
      <w:ind w:right="2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8259F5" w:rsidRDefault="008259F5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F5" w:rsidRDefault="008259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24B3B"/>
    <w:multiLevelType w:val="hybridMultilevel"/>
    <w:tmpl w:val="BCA48000"/>
    <w:lvl w:ilvl="0" w:tplc="1F58C9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281F5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222356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41614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8D3D6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F466F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362F8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F4A50E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0421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064804"/>
    <w:multiLevelType w:val="hybridMultilevel"/>
    <w:tmpl w:val="0AB65742"/>
    <w:lvl w:ilvl="0" w:tplc="F7DE95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AAA3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2A434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400E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3CEA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0F9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86E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4D2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E049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F5"/>
    <w:rsid w:val="000B7506"/>
    <w:rsid w:val="008259F5"/>
    <w:rsid w:val="008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C412-966F-4EC1-A249-12EE108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F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8259F5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259F5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259F5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finmarket/registries/" TargetMode="External"/><Relationship Id="rId13" Type="http://schemas.openxmlformats.org/officeDocument/2006/relationships/hyperlink" Target="http://www.cbr.ru/finmarket/registries/" TargetMode="External"/><Relationship Id="rId18" Type="http://schemas.openxmlformats.org/officeDocument/2006/relationships/hyperlink" Target="http://www.cbr.ru/finmarket/registries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rmsp.nalog.ru/" TargetMode="External"/><Relationship Id="rId7" Type="http://schemas.openxmlformats.org/officeDocument/2006/relationships/hyperlink" Target="http://www.cbr.ru/finmarket/registries/" TargetMode="External"/><Relationship Id="rId12" Type="http://schemas.openxmlformats.org/officeDocument/2006/relationships/hyperlink" Target="http://www.cbr.ru/finmarket/registries/" TargetMode="External"/><Relationship Id="rId17" Type="http://schemas.openxmlformats.org/officeDocument/2006/relationships/hyperlink" Target="http://www.cbr.ru/finmarket/registries/" TargetMode="External"/><Relationship Id="rId25" Type="http://schemas.openxmlformats.org/officeDocument/2006/relationships/hyperlink" Target="http://egrul.nalog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r.ru/finmarket/registries/" TargetMode="External"/><Relationship Id="rId20" Type="http://schemas.openxmlformats.org/officeDocument/2006/relationships/hyperlink" Target="https://rmsp.nalog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finmarket/registries/" TargetMode="External"/><Relationship Id="rId24" Type="http://schemas.openxmlformats.org/officeDocument/2006/relationships/hyperlink" Target="http://egrul.nalog.ru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br.ru/finmarket/registries/" TargetMode="External"/><Relationship Id="rId23" Type="http://schemas.openxmlformats.org/officeDocument/2006/relationships/hyperlink" Target="https://egrul.nalog.ru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cbr.ru/finmarket/registries/" TargetMode="External"/><Relationship Id="rId19" Type="http://schemas.openxmlformats.org/officeDocument/2006/relationships/hyperlink" Target="http://www.cbr.ru/finmarket/regist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r.ru/finmarket/registries/" TargetMode="External"/><Relationship Id="rId14" Type="http://schemas.openxmlformats.org/officeDocument/2006/relationships/hyperlink" Target="http://www.cbr.ru/finmarket/registries/" TargetMode="External"/><Relationship Id="rId22" Type="http://schemas.openxmlformats.org/officeDocument/2006/relationships/hyperlink" Target="https://egrul.nalog.ru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2019-05-31T12:32:00Z</dcterms:created>
  <dcterms:modified xsi:type="dcterms:W3CDTF">2019-05-31T12:38:00Z</dcterms:modified>
</cp:coreProperties>
</file>