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 xml:space="preserve">для размещения средств Автономного учреждения «Гарантийный фонд кредитного обеспечения Республики Мордовия» </w:t>
      </w:r>
      <w:r w:rsidR="004A3602">
        <w:rPr>
          <w:rFonts w:ascii="Times New Roman" w:hAnsi="Times New Roman"/>
          <w:b/>
          <w:sz w:val="28"/>
          <w:szCs w:val="28"/>
        </w:rPr>
        <w:t>на расчетных счетах</w:t>
      </w:r>
    </w:p>
    <w:p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07EB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Наличие </w:t>
      </w:r>
      <w:r w:rsidR="000D18EB">
        <w:rPr>
          <w:rFonts w:ascii="Times New Roman" w:hAnsi="Times New Roman"/>
          <w:sz w:val="28"/>
          <w:szCs w:val="28"/>
        </w:rPr>
        <w:t xml:space="preserve">универсальной или базовой </w:t>
      </w:r>
      <w:r>
        <w:rPr>
          <w:rFonts w:ascii="Times New Roman" w:hAnsi="Times New Roman"/>
          <w:sz w:val="28"/>
          <w:szCs w:val="28"/>
        </w:rPr>
        <w:t>лицензии Банка России на осуществление банковск</w:t>
      </w:r>
      <w:r w:rsidR="000D18E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0D18EB">
        <w:rPr>
          <w:rFonts w:ascii="Times New Roman" w:hAnsi="Times New Roman"/>
          <w:sz w:val="28"/>
          <w:szCs w:val="28"/>
        </w:rPr>
        <w:t>операций</w:t>
      </w:r>
      <w:r>
        <w:rPr>
          <w:rFonts w:ascii="Times New Roman" w:hAnsi="Times New Roman"/>
          <w:sz w:val="28"/>
          <w:szCs w:val="28"/>
        </w:rPr>
        <w:t>:</w:t>
      </w:r>
    </w:p>
    <w:p w:rsidR="00FB07EB" w:rsidRDefault="00FB07EB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C51491" wp14:editId="78B2F7AF">
                <wp:simplePos x="0" y="0"/>
                <wp:positionH relativeFrom="column">
                  <wp:posOffset>4036695</wp:posOffset>
                </wp:positionH>
                <wp:positionV relativeFrom="paragraph">
                  <wp:posOffset>151765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759A1" id="Прямоугольник 24" o:spid="_x0000_s1026" style="position:absolute;margin-left:317.85pt;margin-top:11.95pt;width:19.2pt;height:1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7E0DDE" wp14:editId="26E6C8CE">
                <wp:simplePos x="0" y="0"/>
                <wp:positionH relativeFrom="column">
                  <wp:posOffset>1550670</wp:posOffset>
                </wp:positionH>
                <wp:positionV relativeFrom="paragraph">
                  <wp:posOffset>172085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1EE4" id="Прямоугольник 25" o:spid="_x0000_s1026" style="position:absolute;margin-left:122.1pt;margin-top:13.55pt;width:19.2pt;height:18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C123CF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F6818B" wp14:editId="0AD4595D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1A37" id="Прямоугольник 26" o:spid="_x0000_s1026" style="position:absolute;margin-left:317.85pt;margin-top:1.95pt;width:19.2pt;height:1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74EA2D" wp14:editId="13488C54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70DF" id="Прямоугольник 27" o:spid="_x0000_s1026" style="position:absolute;margin-left:122.1pt;margin-top:1.95pt;width:19.2pt;height:18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D6151">
        <w:rPr>
          <w:rFonts w:ascii="Times New Roman" w:hAnsi="Times New Roman"/>
          <w:sz w:val="28"/>
          <w:szCs w:val="28"/>
        </w:rPr>
        <w:t xml:space="preserve">Наличие у Банка 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5" w:history="1">
        <w:r w:rsidRPr="00ED6151">
          <w:rPr>
            <w:rFonts w:ascii="Times New Roman" w:hAnsi="Times New Roman"/>
            <w:sz w:val="28"/>
            <w:szCs w:val="28"/>
          </w:rPr>
          <w:t>www.cbr.ru</w:t>
        </w:r>
      </w:hyperlink>
      <w:r w:rsidRPr="00ED6151">
        <w:rPr>
          <w:rFonts w:ascii="Times New Roman" w:hAnsi="Times New Roman"/>
          <w:sz w:val="28"/>
          <w:szCs w:val="28"/>
        </w:rPr>
        <w:t xml:space="preserve"> в сети "Интернет" в соответствии со </w:t>
      </w:r>
      <w:hyperlink r:id="rId6" w:history="1">
        <w:r w:rsidRPr="00ED6151">
          <w:rPr>
            <w:rFonts w:ascii="Times New Roman" w:hAnsi="Times New Roman"/>
            <w:sz w:val="28"/>
            <w:szCs w:val="28"/>
          </w:rPr>
          <w:t>статьей 57</w:t>
        </w:r>
      </w:hyperlink>
      <w:r w:rsidRPr="00ED6151">
        <w:rPr>
          <w:rFonts w:ascii="Times New Roman" w:hAnsi="Times New Roman"/>
          <w:sz w:val="28"/>
          <w:szCs w:val="28"/>
        </w:rPr>
        <w:t xml:space="preserve"> Закона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4A2D38" wp14:editId="2EB5A9B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90C0" id="Прямоугольник 28" o:spid="_x0000_s1026" style="position:absolute;margin-left:317.85pt;margin-top:1.95pt;width:19.2pt;height:1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3BB7CE" wp14:editId="30071EC5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8509" id="Прямоугольник 29" o:spid="_x0000_s1026" style="position:absolute;margin-left:122.1pt;margin-top:1.95pt;width:19.2pt;height:1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Pr="006752CA">
        <w:rPr>
          <w:rFonts w:ascii="Times New Roman" w:hAnsi="Times New Roman"/>
          <w:sz w:val="28"/>
          <w:szCs w:val="28"/>
        </w:rPr>
        <w:t>аличие у Банка международного рейтинга долгосрочной кредитоспособности по классификации рейтинговых агентств "</w:t>
      </w:r>
      <w:proofErr w:type="spellStart"/>
      <w:r w:rsidRPr="006752CA">
        <w:rPr>
          <w:rFonts w:ascii="Times New Roman" w:hAnsi="Times New Roman"/>
          <w:sz w:val="28"/>
          <w:szCs w:val="28"/>
        </w:rPr>
        <w:t>ФитчРейтингс</w:t>
      </w:r>
      <w:proofErr w:type="spellEnd"/>
      <w:r w:rsidRPr="006752CA">
        <w:rPr>
          <w:rFonts w:ascii="Times New Roman" w:hAnsi="Times New Roman"/>
          <w:sz w:val="28"/>
          <w:szCs w:val="28"/>
        </w:rPr>
        <w:t>" (</w:t>
      </w:r>
      <w:proofErr w:type="spellStart"/>
      <w:r w:rsidRPr="006752CA">
        <w:rPr>
          <w:rFonts w:ascii="Times New Roman" w:hAnsi="Times New Roman"/>
          <w:sz w:val="28"/>
          <w:szCs w:val="28"/>
        </w:rPr>
        <w:t>FitchRatings</w:t>
      </w:r>
      <w:proofErr w:type="spellEnd"/>
      <w:r w:rsidRPr="006752CA">
        <w:rPr>
          <w:rFonts w:ascii="Times New Roman" w:hAnsi="Times New Roman"/>
          <w:sz w:val="28"/>
          <w:szCs w:val="28"/>
        </w:rPr>
        <w:t xml:space="preserve">) или "Стандарт энд </w:t>
      </w:r>
      <w:proofErr w:type="spellStart"/>
      <w:r w:rsidRPr="006752CA">
        <w:rPr>
          <w:rFonts w:ascii="Times New Roman" w:hAnsi="Times New Roman"/>
          <w:sz w:val="28"/>
          <w:szCs w:val="28"/>
        </w:rPr>
        <w:t>Пурс</w:t>
      </w:r>
      <w:proofErr w:type="spellEnd"/>
      <w:r w:rsidRPr="006752CA">
        <w:rPr>
          <w:rFonts w:ascii="Times New Roman" w:hAnsi="Times New Roman"/>
          <w:sz w:val="28"/>
          <w:szCs w:val="28"/>
        </w:rPr>
        <w:t>" (</w:t>
      </w:r>
      <w:proofErr w:type="spellStart"/>
      <w:r w:rsidRPr="006752CA">
        <w:rPr>
          <w:rFonts w:ascii="Times New Roman" w:hAnsi="Times New Roman"/>
          <w:sz w:val="28"/>
          <w:szCs w:val="28"/>
        </w:rPr>
        <w:t>Standart&amp;Poor's</w:t>
      </w:r>
      <w:proofErr w:type="spellEnd"/>
      <w:r w:rsidRPr="006752CA">
        <w:rPr>
          <w:rFonts w:ascii="Times New Roman" w:hAnsi="Times New Roman"/>
          <w:sz w:val="28"/>
          <w:szCs w:val="28"/>
        </w:rPr>
        <w:t>) не ниже "ВВ-", либо "</w:t>
      </w:r>
      <w:proofErr w:type="spellStart"/>
      <w:r w:rsidRPr="006752CA">
        <w:rPr>
          <w:rFonts w:ascii="Times New Roman" w:hAnsi="Times New Roman"/>
          <w:sz w:val="28"/>
          <w:szCs w:val="28"/>
        </w:rPr>
        <w:t>МудисИнвесторс</w:t>
      </w:r>
      <w:proofErr w:type="spellEnd"/>
      <w:r w:rsidRPr="006752CA">
        <w:rPr>
          <w:rFonts w:ascii="Times New Roman" w:hAnsi="Times New Roman"/>
          <w:sz w:val="28"/>
          <w:szCs w:val="28"/>
        </w:rPr>
        <w:t xml:space="preserve"> Сервис" (</w:t>
      </w:r>
      <w:proofErr w:type="spellStart"/>
      <w:r w:rsidRPr="006752CA">
        <w:rPr>
          <w:rFonts w:ascii="Times New Roman" w:hAnsi="Times New Roman"/>
          <w:sz w:val="28"/>
          <w:szCs w:val="28"/>
        </w:rPr>
        <w:t>Moody'slnvestorsService</w:t>
      </w:r>
      <w:proofErr w:type="spellEnd"/>
      <w:r w:rsidRPr="006752CA">
        <w:rPr>
          <w:rFonts w:ascii="Times New Roman" w:hAnsi="Times New Roman"/>
          <w:sz w:val="28"/>
          <w:szCs w:val="28"/>
        </w:rPr>
        <w:t>) не ниже "</w:t>
      </w:r>
      <w:proofErr w:type="spellStart"/>
      <w:r w:rsidRPr="006752CA">
        <w:rPr>
          <w:rFonts w:ascii="Times New Roman" w:hAnsi="Times New Roman"/>
          <w:sz w:val="28"/>
          <w:szCs w:val="28"/>
        </w:rPr>
        <w:t>ВаЗ</w:t>
      </w:r>
      <w:proofErr w:type="spellEnd"/>
      <w:r w:rsidRPr="006752C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:</w:t>
      </w: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5DA80" wp14:editId="4F3C3265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15FE" id="Прямоугольник 30" o:spid="_x0000_s1026" style="position:absolute;margin-left:317.85pt;margin-top:1.9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63AFC" wp14:editId="13F1BDC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2C6A" id="Прямоугольник 31" o:spid="_x0000_s1026" style="position:absolute;margin-left:122.1pt;margin-top:1.95pt;width:19.2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6500B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Да</w:t>
      </w:r>
      <w:r w:rsidRPr="0027611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27611F"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52CA" w:rsidRPr="005327AE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Fitch Ratings - ______________;</w:t>
      </w:r>
    </w:p>
    <w:p w:rsidR="006752CA" w:rsidRPr="005327AE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Standard &amp; Poor's – ____________;</w:t>
      </w:r>
    </w:p>
    <w:p w:rsidR="006752CA" w:rsidRPr="0071076B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Moody</w:t>
      </w:r>
      <w:r w:rsidRPr="0071076B">
        <w:rPr>
          <w:rFonts w:ascii="Times New Roman" w:hAnsi="Times New Roman"/>
          <w:sz w:val="28"/>
          <w:szCs w:val="28"/>
        </w:rPr>
        <w:t>'</w:t>
      </w:r>
      <w:r w:rsidRPr="005327AE">
        <w:rPr>
          <w:rFonts w:ascii="Times New Roman" w:hAnsi="Times New Roman"/>
          <w:sz w:val="28"/>
          <w:szCs w:val="28"/>
          <w:lang w:val="en-US"/>
        </w:rPr>
        <w:t>s</w:t>
      </w:r>
      <w:r w:rsidRPr="0071076B"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Investors</w:t>
      </w:r>
      <w:r w:rsidRPr="0071076B"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Service</w:t>
      </w:r>
      <w:r w:rsidRPr="0071076B">
        <w:rPr>
          <w:rFonts w:ascii="Times New Roman" w:hAnsi="Times New Roman"/>
          <w:sz w:val="28"/>
          <w:szCs w:val="28"/>
        </w:rPr>
        <w:t xml:space="preserve"> – ______________;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C6EC7" wp14:editId="5CD2861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5A019" id="Прямоугольник 32" o:spid="_x0000_s1026" style="position:absolute;margin-left:317.85pt;margin-top:1.95pt;width:1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FCB63" wp14:editId="42DA5CB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8224C" id="Прямоугольник 33" o:spid="_x0000_s1026" style="position:absolute;margin-left:122.1pt;margin-top:1.9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7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981BE" wp14:editId="3E83273F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B9E28" id="Прямоугольник 34" o:spid="_x0000_s1026" style="position:absolute;margin-left:317.85pt;margin-top:1.95pt;width:19.2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571D4" wp14:editId="426CB8F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D1A07" id="Прямоугольник 35" o:spid="_x0000_s1026" style="position:absolute;margin-left:122.1pt;margin-top:1.95pt;width:19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Отсутствие у Банка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Банка просроченной задолженности по банковским депозитам, ранее размещенным в нем за счет средств Региональных гарантийных организаций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E2FF6" wp14:editId="5632AB9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698A3" id="Прямоугольник 36" o:spid="_x0000_s1026" style="position:absolute;margin-left:317.85pt;margin-top:1.95pt;width:19.2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DE9C1" wp14:editId="722D7930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99688" id="Прямоугольник 37" o:spid="_x0000_s1026" style="position:absolute;margin-left:122.1pt;margin-top:1.95pt;width:19.2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8.</w:t>
      </w:r>
      <w:r w:rsidRPr="006752CA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752CA">
        <w:rPr>
          <w:rFonts w:ascii="Times New Roman" w:hAnsi="Times New Roman"/>
          <w:sz w:val="28"/>
          <w:szCs w:val="28"/>
        </w:rPr>
        <w:t>частие Банка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4E369" wp14:editId="0924F22A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79586" id="Прямоугольник 38" o:spid="_x0000_s1026" style="position:absolute;margin-left:317.85pt;margin-top:1.95pt;width:19.2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ADF84" wp14:editId="440DB5E0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07B4F" id="Прямоугольник 39" o:spid="_x0000_s1026" style="position:absolute;margin-left:122.1pt;margin-top:1.95pt;width:19.2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346DE" w:rsidRPr="005A2080" w:rsidRDefault="00F6500B" w:rsidP="0069351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693514" w:rsidRPr="005A2080">
        <w:rPr>
          <w:rFonts w:ascii="Times New Roman" w:hAnsi="Times New Roman"/>
          <w:sz w:val="28"/>
          <w:szCs w:val="28"/>
        </w:rPr>
        <w:t xml:space="preserve">Предлагаемый процентный размер ставок и размер неснижаемого остатка денежных средств, находящихся на расчетном счете </w:t>
      </w:r>
      <w:r w:rsidR="0057305B" w:rsidRPr="005A2080">
        <w:rPr>
          <w:rFonts w:ascii="Times New Roman" w:hAnsi="Times New Roman"/>
          <w:sz w:val="28"/>
          <w:szCs w:val="28"/>
        </w:rPr>
        <w:t>АУ «Гарантийный фонд Республики Мордовия»</w:t>
      </w:r>
      <w:r w:rsidR="00693514" w:rsidRPr="005A2080">
        <w:rPr>
          <w:rFonts w:ascii="Times New Roman" w:hAnsi="Times New Roman"/>
          <w:sz w:val="28"/>
          <w:szCs w:val="28"/>
        </w:rPr>
        <w:t xml:space="preserve">. </w:t>
      </w:r>
    </w:p>
    <w:p w:rsidR="00693514" w:rsidRPr="005A2080" w:rsidRDefault="00693514" w:rsidP="0069351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A2080">
        <w:rPr>
          <w:rFonts w:ascii="Times New Roman" w:hAnsi="Times New Roman"/>
          <w:sz w:val="28"/>
          <w:szCs w:val="28"/>
        </w:rPr>
        <w:t>Предлагаемые условия:</w:t>
      </w:r>
    </w:p>
    <w:p w:rsidR="00693514" w:rsidRPr="005A2080" w:rsidRDefault="00693514" w:rsidP="0069351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A2080">
        <w:rPr>
          <w:rFonts w:ascii="Times New Roman" w:hAnsi="Times New Roman"/>
          <w:sz w:val="28"/>
          <w:szCs w:val="28"/>
        </w:rPr>
        <w:t>- размер неснижаемого остатка денежных средств, находящихся на расчетном счете - не более 1 000 000,00 рублей;</w:t>
      </w:r>
    </w:p>
    <w:p w:rsidR="00693514" w:rsidRPr="005A2080" w:rsidRDefault="00693514" w:rsidP="0069351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A2080">
        <w:rPr>
          <w:rFonts w:ascii="Times New Roman" w:hAnsi="Times New Roman"/>
          <w:sz w:val="28"/>
          <w:szCs w:val="28"/>
        </w:rPr>
        <w:t>- ежемесячное начисление процентов на среднедневной остаток денежных средств на расчетном счете и выплата в последний рабочий день текущего месяца.</w:t>
      </w:r>
    </w:p>
    <w:p w:rsidR="00693514" w:rsidRPr="005A2080" w:rsidRDefault="00693514" w:rsidP="0069351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A2080">
        <w:rPr>
          <w:rFonts w:ascii="Times New Roman" w:hAnsi="Times New Roman"/>
          <w:sz w:val="28"/>
          <w:szCs w:val="28"/>
        </w:rPr>
        <w:t xml:space="preserve"> </w:t>
      </w:r>
    </w:p>
    <w:p w:rsidR="00693514" w:rsidRPr="005A2080" w:rsidRDefault="00693514" w:rsidP="0069351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A2080">
        <w:rPr>
          <w:rFonts w:ascii="Times New Roman" w:hAnsi="Times New Roman"/>
          <w:sz w:val="28"/>
          <w:szCs w:val="28"/>
        </w:rPr>
        <w:t xml:space="preserve">Общая сумма, предлагаемая к размещению </w:t>
      </w:r>
      <w:r w:rsidR="002B4BB8" w:rsidRPr="005A2080">
        <w:rPr>
          <w:rFonts w:ascii="Times New Roman" w:hAnsi="Times New Roman"/>
          <w:sz w:val="28"/>
          <w:szCs w:val="28"/>
        </w:rPr>
        <w:t>9</w:t>
      </w:r>
      <w:r w:rsidRPr="005A2080">
        <w:rPr>
          <w:rFonts w:ascii="Times New Roman" w:hAnsi="Times New Roman"/>
          <w:sz w:val="28"/>
          <w:szCs w:val="28"/>
        </w:rPr>
        <w:t> 000 000, 00 (</w:t>
      </w:r>
      <w:r w:rsidR="002B4BB8" w:rsidRPr="005A2080">
        <w:rPr>
          <w:rFonts w:ascii="Times New Roman" w:hAnsi="Times New Roman"/>
          <w:sz w:val="28"/>
          <w:szCs w:val="28"/>
        </w:rPr>
        <w:t>Девя</w:t>
      </w:r>
      <w:r w:rsidRPr="005A2080">
        <w:rPr>
          <w:rFonts w:ascii="Times New Roman" w:hAnsi="Times New Roman"/>
          <w:sz w:val="28"/>
          <w:szCs w:val="28"/>
        </w:rPr>
        <w:t>ть миллионов) рублей.</w:t>
      </w:r>
    </w:p>
    <w:p w:rsidR="00693514" w:rsidRPr="00D50BC4" w:rsidRDefault="00693514" w:rsidP="0069351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E7349" w:rsidRPr="00AE7349" w:rsidRDefault="00AE7349" w:rsidP="0069351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26813" w:rsidRPr="00126813" w:rsidRDefault="00F30864" w:rsidP="00126813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BACAFA" wp14:editId="3409BFD9">
                <wp:simplePos x="0" y="0"/>
                <wp:positionH relativeFrom="column">
                  <wp:posOffset>4775835</wp:posOffset>
                </wp:positionH>
                <wp:positionV relativeFrom="paragraph">
                  <wp:posOffset>22859</wp:posOffset>
                </wp:positionV>
                <wp:extent cx="714375" cy="2571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349" w:rsidRDefault="00AE7349" w:rsidP="00AE7349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ACAFA" id="Прямоугольник 7" o:spid="_x0000_s1026" style="position:absolute;left:0;text-align:left;margin-left:376.05pt;margin-top:1.8pt;width:56.2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">
                <v:textbox>
                  <w:txbxContent>
                    <w:p w:rsidR="00AE7349" w:rsidRDefault="00AE7349" w:rsidP="00AE7349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</w:t>
      </w:r>
      <w:r w:rsidR="00126813" w:rsidRPr="00126813">
        <w:rPr>
          <w:rFonts w:ascii="Times New Roman" w:hAnsi="Times New Roman"/>
          <w:sz w:val="28"/>
          <w:szCs w:val="28"/>
        </w:rPr>
        <w:t xml:space="preserve">     _____________________</w:t>
      </w:r>
      <w:r w:rsidR="00693514">
        <w:rPr>
          <w:rFonts w:ascii="Times New Roman" w:hAnsi="Times New Roman"/>
          <w:sz w:val="28"/>
          <w:szCs w:val="28"/>
        </w:rPr>
        <w:t>___</w:t>
      </w:r>
      <w:r w:rsidR="00126813" w:rsidRPr="00126813">
        <w:rPr>
          <w:rFonts w:ascii="Times New Roman" w:hAnsi="Times New Roman"/>
          <w:sz w:val="28"/>
          <w:szCs w:val="28"/>
        </w:rPr>
        <w:t xml:space="preserve">_____________________      </w:t>
      </w:r>
      <w:r w:rsidR="00126813">
        <w:rPr>
          <w:rFonts w:ascii="Times New Roman" w:hAnsi="Times New Roman"/>
          <w:sz w:val="28"/>
          <w:szCs w:val="28"/>
        </w:rPr>
        <w:t xml:space="preserve">   </w:t>
      </w:r>
      <w:r w:rsidR="00126813" w:rsidRPr="00126813">
        <w:rPr>
          <w:rFonts w:ascii="Times New Roman" w:hAnsi="Times New Roman"/>
          <w:sz w:val="28"/>
          <w:szCs w:val="28"/>
        </w:rPr>
        <w:t xml:space="preserve">                %,</w:t>
      </w:r>
    </w:p>
    <w:p w:rsidR="00D45C00" w:rsidRDefault="00693514" w:rsidP="00693514">
      <w:pPr>
        <w:tabs>
          <w:tab w:val="left" w:pos="149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126813" w:rsidRPr="00126813" w:rsidRDefault="00126813" w:rsidP="00126813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81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C0B009" wp14:editId="702E3337">
                <wp:simplePos x="0" y="0"/>
                <wp:positionH relativeFrom="column">
                  <wp:posOffset>4766310</wp:posOffset>
                </wp:positionH>
                <wp:positionV relativeFrom="paragraph">
                  <wp:posOffset>31259</wp:posOffset>
                </wp:positionV>
                <wp:extent cx="722942" cy="229870"/>
                <wp:effectExtent l="0" t="0" r="20320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2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E0DD9" id="Прямоугольник 5" o:spid="_x0000_s1026" style="position:absolute;margin-left:375.3pt;margin-top:2.45pt;width:56.9pt;height:1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"/>
            </w:pict>
          </mc:Fallback>
        </mc:AlternateContent>
      </w:r>
      <w:r w:rsidRPr="0012681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26813">
        <w:rPr>
          <w:rFonts w:ascii="Times New Roman" w:hAnsi="Times New Roman"/>
          <w:sz w:val="28"/>
          <w:szCs w:val="28"/>
        </w:rPr>
        <w:t xml:space="preserve">  _____________________________________________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6813">
        <w:rPr>
          <w:rFonts w:ascii="Times New Roman" w:hAnsi="Times New Roman"/>
          <w:sz w:val="28"/>
          <w:szCs w:val="28"/>
        </w:rPr>
        <w:t xml:space="preserve">                  </w:t>
      </w:r>
      <w:r w:rsidR="003A5A5C">
        <w:rPr>
          <w:rFonts w:ascii="Times New Roman" w:hAnsi="Times New Roman"/>
          <w:sz w:val="28"/>
          <w:szCs w:val="28"/>
        </w:rPr>
        <w:t xml:space="preserve"> </w:t>
      </w:r>
      <w:r w:rsidRPr="00126813">
        <w:rPr>
          <w:rFonts w:ascii="Times New Roman" w:hAnsi="Times New Roman"/>
          <w:sz w:val="28"/>
          <w:szCs w:val="28"/>
        </w:rPr>
        <w:t>%,</w:t>
      </w:r>
    </w:p>
    <w:p w:rsidR="00126813" w:rsidRDefault="00126813" w:rsidP="001268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126813" w:rsidRPr="005A2080" w:rsidRDefault="00126813" w:rsidP="001268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30864" w:rsidRPr="005A2080" w:rsidRDefault="003010C3" w:rsidP="00F30864">
      <w:pPr>
        <w:tabs>
          <w:tab w:val="left" w:pos="142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2080">
        <w:rPr>
          <w:rFonts w:ascii="Times New Roman" w:hAnsi="Times New Roman"/>
          <w:i/>
          <w:sz w:val="28"/>
          <w:szCs w:val="28"/>
        </w:rPr>
        <w:t xml:space="preserve">       Указывается</w:t>
      </w:r>
      <w:r w:rsidR="00F30864" w:rsidRPr="005A2080">
        <w:rPr>
          <w:rFonts w:ascii="Times New Roman" w:hAnsi="Times New Roman"/>
          <w:i/>
          <w:sz w:val="28"/>
          <w:szCs w:val="28"/>
        </w:rPr>
        <w:t xml:space="preserve"> </w:t>
      </w:r>
      <w:r w:rsidR="00693514" w:rsidRPr="005A2080">
        <w:rPr>
          <w:rFonts w:ascii="Times New Roman" w:hAnsi="Times New Roman"/>
          <w:i/>
          <w:sz w:val="28"/>
          <w:szCs w:val="28"/>
        </w:rPr>
        <w:t>размер неснижаемого остатка</w:t>
      </w:r>
      <w:r w:rsidR="00F30864" w:rsidRPr="005A2080">
        <w:rPr>
          <w:rFonts w:ascii="Times New Roman" w:hAnsi="Times New Roman"/>
          <w:i/>
          <w:sz w:val="28"/>
          <w:szCs w:val="28"/>
        </w:rPr>
        <w:t xml:space="preserve"> и </w:t>
      </w:r>
      <w:r w:rsidR="0071076B" w:rsidRPr="005A2080">
        <w:rPr>
          <w:rFonts w:ascii="Times New Roman" w:hAnsi="Times New Roman"/>
          <w:i/>
          <w:sz w:val="28"/>
          <w:szCs w:val="28"/>
        </w:rPr>
        <w:t>размер начисляемых процентов</w:t>
      </w:r>
      <w:r w:rsidR="00F30864" w:rsidRPr="005A2080">
        <w:rPr>
          <w:rFonts w:ascii="Times New Roman" w:hAnsi="Times New Roman"/>
          <w:i/>
          <w:sz w:val="28"/>
          <w:szCs w:val="28"/>
        </w:rPr>
        <w:t>, при этом общая сумма размещения средств в одном конкретном банке</w:t>
      </w:r>
      <w:r w:rsidR="00D45C00" w:rsidRPr="005A2080">
        <w:rPr>
          <w:rFonts w:ascii="Times New Roman" w:hAnsi="Times New Roman"/>
          <w:i/>
          <w:sz w:val="28"/>
          <w:szCs w:val="28"/>
        </w:rPr>
        <w:t xml:space="preserve">, </w:t>
      </w:r>
      <w:r w:rsidR="00F30864" w:rsidRPr="005A2080">
        <w:rPr>
          <w:rFonts w:ascii="Times New Roman" w:hAnsi="Times New Roman"/>
          <w:i/>
          <w:sz w:val="28"/>
          <w:szCs w:val="28"/>
        </w:rPr>
        <w:t>с учетом уже размещенных средств</w:t>
      </w:r>
      <w:r w:rsidR="00D50BC4" w:rsidRPr="005A2080">
        <w:rPr>
          <w:rFonts w:ascii="Times New Roman" w:hAnsi="Times New Roman"/>
          <w:i/>
          <w:sz w:val="28"/>
          <w:szCs w:val="28"/>
        </w:rPr>
        <w:t xml:space="preserve"> </w:t>
      </w:r>
      <w:r w:rsidR="00D45C00" w:rsidRPr="005A2080">
        <w:rPr>
          <w:rFonts w:ascii="Times New Roman" w:hAnsi="Times New Roman"/>
          <w:i/>
          <w:sz w:val="28"/>
          <w:szCs w:val="28"/>
        </w:rPr>
        <w:t>(на расчетном счете и</w:t>
      </w:r>
      <w:r w:rsidR="00D50BC4" w:rsidRPr="005A2080">
        <w:rPr>
          <w:rFonts w:ascii="Times New Roman" w:hAnsi="Times New Roman"/>
          <w:i/>
          <w:sz w:val="28"/>
          <w:szCs w:val="28"/>
        </w:rPr>
        <w:t xml:space="preserve"> </w:t>
      </w:r>
      <w:r w:rsidR="00D45C00" w:rsidRPr="005A2080">
        <w:rPr>
          <w:rFonts w:ascii="Times New Roman" w:hAnsi="Times New Roman"/>
          <w:i/>
          <w:sz w:val="28"/>
          <w:szCs w:val="28"/>
        </w:rPr>
        <w:t>во вклады</w:t>
      </w:r>
      <w:r w:rsidR="00D45C00" w:rsidRPr="005A208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45C00" w:rsidRPr="005A2080">
        <w:rPr>
          <w:rFonts w:ascii="Times New Roman" w:hAnsi="Times New Roman"/>
          <w:i/>
          <w:sz w:val="28"/>
          <w:szCs w:val="28"/>
        </w:rPr>
        <w:lastRenderedPageBreak/>
        <w:t>(депозиты</w:t>
      </w:r>
      <w:r w:rsidR="00F30864" w:rsidRPr="005A2080">
        <w:rPr>
          <w:rFonts w:ascii="Times New Roman" w:hAnsi="Times New Roman"/>
          <w:i/>
          <w:sz w:val="28"/>
          <w:szCs w:val="28"/>
        </w:rPr>
        <w:t xml:space="preserve">) не может превышать </w:t>
      </w:r>
      <w:r w:rsidR="00F30864" w:rsidRPr="005A2080">
        <w:rPr>
          <w:rFonts w:ascii="Times New Roman" w:hAnsi="Times New Roman"/>
          <w:sz w:val="28"/>
          <w:szCs w:val="28"/>
        </w:rPr>
        <w:t>10</w:t>
      </w:r>
      <w:r w:rsidR="00FF1412" w:rsidRPr="005A2080">
        <w:rPr>
          <w:rFonts w:ascii="Times New Roman" w:hAnsi="Times New Roman"/>
          <w:sz w:val="28"/>
          <w:szCs w:val="28"/>
        </w:rPr>
        <w:t>8</w:t>
      </w:r>
      <w:r w:rsidR="00F30864" w:rsidRPr="005A2080">
        <w:rPr>
          <w:rFonts w:ascii="Times New Roman" w:hAnsi="Times New Roman"/>
          <w:sz w:val="28"/>
          <w:szCs w:val="28"/>
        </w:rPr>
        <w:t xml:space="preserve"> 000 000,00 (Сто </w:t>
      </w:r>
      <w:r w:rsidR="00FF1412" w:rsidRPr="005A2080">
        <w:rPr>
          <w:rFonts w:ascii="Times New Roman" w:hAnsi="Times New Roman"/>
          <w:sz w:val="28"/>
          <w:szCs w:val="28"/>
        </w:rPr>
        <w:t xml:space="preserve">восемь </w:t>
      </w:r>
      <w:r w:rsidR="00F30864" w:rsidRPr="005A2080">
        <w:rPr>
          <w:rFonts w:ascii="Times New Roman" w:hAnsi="Times New Roman"/>
          <w:sz w:val="28"/>
          <w:szCs w:val="28"/>
        </w:rPr>
        <w:t>миллионов) рублей</w:t>
      </w:r>
      <w:r w:rsidR="00F30864" w:rsidRPr="005A2080">
        <w:rPr>
          <w:rFonts w:ascii="Times New Roman" w:hAnsi="Times New Roman"/>
          <w:i/>
          <w:sz w:val="28"/>
          <w:szCs w:val="28"/>
        </w:rPr>
        <w:t xml:space="preserve">. </w:t>
      </w:r>
    </w:p>
    <w:p w:rsidR="00C123CF" w:rsidRDefault="00C123CF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57305B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F6500B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6DE">
        <w:rPr>
          <w:rFonts w:ascii="Times New Roman" w:hAnsi="Times New Roman"/>
          <w:sz w:val="28"/>
          <w:szCs w:val="28"/>
        </w:rPr>
        <w:t xml:space="preserve">Указать размер тарифа за услуги </w:t>
      </w:r>
      <w:r w:rsidR="00224963">
        <w:rPr>
          <w:rFonts w:ascii="Times New Roman" w:hAnsi="Times New Roman"/>
          <w:sz w:val="28"/>
          <w:szCs w:val="28"/>
        </w:rPr>
        <w:t>Б</w:t>
      </w:r>
      <w:r w:rsidR="001346DE">
        <w:rPr>
          <w:rFonts w:ascii="Times New Roman" w:hAnsi="Times New Roman"/>
          <w:sz w:val="28"/>
          <w:szCs w:val="28"/>
        </w:rPr>
        <w:t>анка по:</w:t>
      </w:r>
    </w:p>
    <w:p w:rsidR="001346DE" w:rsidRDefault="001346DE" w:rsidP="001346DE">
      <w:pPr>
        <w:pStyle w:val="a7"/>
        <w:tabs>
          <w:tab w:val="left" w:pos="0"/>
        </w:tabs>
        <w:suppressAutoHyphens/>
        <w:ind w:firstLine="72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-</w:t>
      </w:r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 xml:space="preserve"> ведению </w:t>
      </w:r>
      <w:proofErr w:type="gramStart"/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>счета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:_</w:t>
      </w:r>
      <w:proofErr w:type="gramEnd"/>
      <w:r>
        <w:rPr>
          <w:rFonts w:ascii="Times New Roman" w:eastAsia="Times New Roman" w:hAnsi="Times New Roman"/>
          <w:sz w:val="28"/>
          <w:szCs w:val="28"/>
          <w:lang w:eastAsia="x-none"/>
        </w:rPr>
        <w:t>______________________;</w:t>
      </w:r>
    </w:p>
    <w:p w:rsidR="001346DE" w:rsidRPr="001346DE" w:rsidRDefault="001346DE" w:rsidP="001346DE">
      <w:pPr>
        <w:pStyle w:val="a7"/>
        <w:tabs>
          <w:tab w:val="left" w:pos="0"/>
        </w:tabs>
        <w:suppressAutoHyphens/>
        <w:ind w:firstLine="72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>- предоставлению доступа к интернет-</w:t>
      </w:r>
      <w:proofErr w:type="gramStart"/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>банку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:_</w:t>
      </w:r>
      <w:proofErr w:type="gramEnd"/>
      <w:r>
        <w:rPr>
          <w:rFonts w:ascii="Times New Roman" w:eastAsia="Times New Roman" w:hAnsi="Times New Roman"/>
          <w:sz w:val="28"/>
          <w:szCs w:val="28"/>
          <w:lang w:eastAsia="x-none"/>
        </w:rPr>
        <w:t>_____________________;</w:t>
      </w:r>
    </w:p>
    <w:p w:rsidR="001346DE" w:rsidRDefault="001346DE" w:rsidP="001346DE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 xml:space="preserve">- переводу денежных средств по платежному </w:t>
      </w:r>
      <w:proofErr w:type="gramStart"/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>поручению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:_</w:t>
      </w:r>
      <w:proofErr w:type="gramEnd"/>
      <w:r>
        <w:rPr>
          <w:rFonts w:ascii="Times New Roman" w:eastAsia="Times New Roman" w:hAnsi="Times New Roman"/>
          <w:sz w:val="28"/>
          <w:szCs w:val="28"/>
          <w:lang w:eastAsia="x-none"/>
        </w:rPr>
        <w:t>______________;</w:t>
      </w:r>
    </w:p>
    <w:p w:rsidR="00C123CF" w:rsidRPr="001346DE" w:rsidRDefault="001346DE" w:rsidP="001346DE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1346DE">
        <w:rPr>
          <w:rFonts w:ascii="Times New Roman" w:eastAsia="Times New Roman" w:hAnsi="Times New Roman"/>
          <w:sz w:val="28"/>
          <w:szCs w:val="28"/>
          <w:lang w:val="en-US" w:eastAsia="x-none"/>
        </w:rPr>
        <w:t> </w:t>
      </w:r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 xml:space="preserve">СМС </w:t>
      </w:r>
      <w:proofErr w:type="gramStart"/>
      <w:r w:rsidRPr="001346DE">
        <w:rPr>
          <w:rFonts w:ascii="Times New Roman" w:eastAsia="Times New Roman" w:hAnsi="Times New Roman"/>
          <w:sz w:val="28"/>
          <w:szCs w:val="28"/>
          <w:lang w:eastAsia="x-none"/>
        </w:rPr>
        <w:t>информирование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:_</w:t>
      </w:r>
      <w:proofErr w:type="gramEnd"/>
      <w:r>
        <w:rPr>
          <w:rFonts w:ascii="Times New Roman" w:eastAsia="Times New Roman" w:hAnsi="Times New Roman"/>
          <w:sz w:val="28"/>
          <w:szCs w:val="28"/>
          <w:lang w:eastAsia="x-none"/>
        </w:rPr>
        <w:t>______________________.</w:t>
      </w: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5DB5" w:rsidRPr="00741D8C" w:rsidRDefault="00AB5DB5" w:rsidP="00AB5DB5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AB5DB5">
        <w:rPr>
          <w:rFonts w:ascii="Times New Roman" w:hAnsi="Times New Roman"/>
          <w:b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>
        <w:rPr>
          <w:rFonts w:ascii="Times New Roman" w:hAnsi="Times New Roman"/>
          <w:sz w:val="28"/>
          <w:szCs w:val="28"/>
        </w:rPr>
        <w:t>.</w:t>
      </w:r>
    </w:p>
    <w:p w:rsidR="00AB5DB5" w:rsidRPr="00741D8C" w:rsidRDefault="00AB5DB5" w:rsidP="00AB5DB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:rsidR="00AB5DB5" w:rsidRDefault="00AB5DB5" w:rsidP="00AB5DB5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5DB5" w:rsidRDefault="00AB5DB5" w:rsidP="00AB5DB5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34DD3" wp14:editId="5C1D529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3F52" id="Прямоугольник 11" o:spid="_x0000_s1026" style="position:absolute;margin-left:330.75pt;margin-top:1.25pt;width:19.2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775BA" wp14:editId="0F6C43DB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B152E" id="Прямоугольник 12" o:spid="_x0000_s1026" style="position:absolute;margin-left:130.35pt;margin-top:1.25pt;width:19.2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:rsidR="00AB5DB5" w:rsidRDefault="00AB5DB5" w:rsidP="00AB5DB5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AB5DB5" w:rsidRDefault="00AB5DB5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:rsidR="00AB5DB5" w:rsidRPr="00AB5DB5" w:rsidRDefault="00AB5DB5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Критериями отбора кредитных учреждений для размещения средств </w:t>
      </w:r>
      <w:r w:rsidR="006513E2">
        <w:rPr>
          <w:rFonts w:ascii="Times New Roman" w:hAnsi="Times New Roman"/>
          <w:i/>
          <w:sz w:val="28"/>
          <w:szCs w:val="28"/>
        </w:rPr>
        <w:t xml:space="preserve">на расчетных счетах </w:t>
      </w:r>
      <w:r w:rsidRPr="007876B4">
        <w:rPr>
          <w:rFonts w:ascii="Times New Roman" w:hAnsi="Times New Roman"/>
          <w:i/>
          <w:sz w:val="28"/>
          <w:szCs w:val="28"/>
        </w:rPr>
        <w:t>являются (в порядке убывания значимости):</w:t>
      </w:r>
    </w:p>
    <w:p w:rsidR="00972068" w:rsidRPr="005A2080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2080">
        <w:rPr>
          <w:rFonts w:ascii="Times New Roman" w:hAnsi="Times New Roman"/>
          <w:i/>
          <w:sz w:val="28"/>
          <w:szCs w:val="28"/>
        </w:rPr>
        <w:t xml:space="preserve">      </w:t>
      </w:r>
      <w:r w:rsidR="00972068" w:rsidRPr="005A2080">
        <w:rPr>
          <w:rFonts w:ascii="Times New Roman" w:hAnsi="Times New Roman"/>
          <w:i/>
          <w:sz w:val="28"/>
          <w:szCs w:val="28"/>
        </w:rPr>
        <w:t xml:space="preserve">    - предлагаемая процентная ставка;</w:t>
      </w:r>
      <w:r w:rsidRPr="005A2080">
        <w:rPr>
          <w:rFonts w:ascii="Times New Roman" w:hAnsi="Times New Roman"/>
          <w:i/>
          <w:sz w:val="28"/>
          <w:szCs w:val="28"/>
        </w:rPr>
        <w:t xml:space="preserve"> </w:t>
      </w:r>
    </w:p>
    <w:p w:rsidR="00192DB6" w:rsidRPr="005A2080" w:rsidRDefault="00192DB6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2080">
        <w:rPr>
          <w:rFonts w:ascii="Times New Roman" w:hAnsi="Times New Roman"/>
          <w:i/>
          <w:sz w:val="28"/>
          <w:szCs w:val="28"/>
        </w:rPr>
        <w:t xml:space="preserve">          - размер тарифа за услуги;</w:t>
      </w:r>
    </w:p>
    <w:p w:rsidR="00EC1214" w:rsidRPr="005A2080" w:rsidRDefault="00972068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2080">
        <w:rPr>
          <w:rFonts w:ascii="Times New Roman" w:hAnsi="Times New Roman"/>
          <w:i/>
          <w:sz w:val="28"/>
          <w:szCs w:val="28"/>
        </w:rPr>
        <w:t xml:space="preserve">          </w:t>
      </w:r>
      <w:r w:rsidR="00C123CF" w:rsidRPr="005A2080">
        <w:rPr>
          <w:rFonts w:ascii="Times New Roman" w:hAnsi="Times New Roman"/>
          <w:i/>
          <w:sz w:val="28"/>
          <w:szCs w:val="28"/>
        </w:rPr>
        <w:t xml:space="preserve">- наибольшее количество положительных ответов;  </w:t>
      </w:r>
    </w:p>
    <w:p w:rsidR="00C123CF" w:rsidRPr="005A2080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2080">
        <w:rPr>
          <w:rFonts w:ascii="Times New Roman" w:hAnsi="Times New Roman"/>
          <w:i/>
          <w:sz w:val="28"/>
          <w:szCs w:val="28"/>
        </w:rPr>
        <w:t xml:space="preserve">  </w:t>
      </w:r>
      <w:r w:rsidR="00EC1214" w:rsidRPr="005A2080">
        <w:rPr>
          <w:rFonts w:ascii="Times New Roman" w:hAnsi="Times New Roman"/>
          <w:i/>
          <w:sz w:val="28"/>
          <w:szCs w:val="28"/>
        </w:rPr>
        <w:t xml:space="preserve">     </w:t>
      </w:r>
      <w:r w:rsidR="00972068" w:rsidRPr="005A2080">
        <w:rPr>
          <w:rFonts w:ascii="Times New Roman" w:hAnsi="Times New Roman"/>
          <w:i/>
          <w:sz w:val="28"/>
          <w:szCs w:val="28"/>
        </w:rPr>
        <w:t xml:space="preserve"> </w:t>
      </w:r>
      <w:r w:rsidR="00EC1214" w:rsidRPr="005A2080">
        <w:rPr>
          <w:rFonts w:ascii="Times New Roman" w:hAnsi="Times New Roman"/>
          <w:i/>
          <w:sz w:val="28"/>
          <w:szCs w:val="28"/>
        </w:rPr>
        <w:t xml:space="preserve"> </w:t>
      </w:r>
      <w:r w:rsidR="00972068" w:rsidRPr="005A2080">
        <w:rPr>
          <w:rFonts w:ascii="Times New Roman" w:hAnsi="Times New Roman"/>
          <w:i/>
          <w:sz w:val="28"/>
          <w:szCs w:val="28"/>
        </w:rPr>
        <w:t xml:space="preserve"> </w:t>
      </w:r>
      <w:r w:rsidR="00EC1214" w:rsidRPr="005A2080">
        <w:rPr>
          <w:rFonts w:ascii="Times New Roman" w:hAnsi="Times New Roman"/>
          <w:i/>
          <w:sz w:val="28"/>
          <w:szCs w:val="28"/>
        </w:rPr>
        <w:t>-</w:t>
      </w:r>
      <w:r w:rsidR="00192DB6" w:rsidRPr="005A2080">
        <w:rPr>
          <w:rFonts w:ascii="Times New Roman" w:hAnsi="Times New Roman"/>
          <w:i/>
          <w:sz w:val="28"/>
          <w:szCs w:val="28"/>
        </w:rPr>
        <w:t xml:space="preserve"> </w:t>
      </w:r>
      <w:r w:rsidR="00EC1214" w:rsidRPr="005A2080">
        <w:rPr>
          <w:rFonts w:ascii="Times New Roman" w:hAnsi="Times New Roman"/>
          <w:i/>
          <w:sz w:val="28"/>
          <w:szCs w:val="28"/>
        </w:rPr>
        <w:t>рейтинг долгосрочной кредитоспособности по обязательства</w:t>
      </w:r>
      <w:r w:rsidR="00972068" w:rsidRPr="005A2080">
        <w:rPr>
          <w:rFonts w:ascii="Times New Roman" w:hAnsi="Times New Roman"/>
          <w:i/>
          <w:sz w:val="28"/>
          <w:szCs w:val="28"/>
        </w:rPr>
        <w:t>м в валюте Российской Федерации не ниже установленных значений (п.4 Требования).</w:t>
      </w:r>
    </w:p>
    <w:p w:rsidR="0057305B" w:rsidRPr="005A2080" w:rsidRDefault="0057305B" w:rsidP="0057305B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2080">
        <w:rPr>
          <w:rFonts w:ascii="Times New Roman" w:hAnsi="Times New Roman"/>
          <w:i/>
          <w:sz w:val="28"/>
          <w:szCs w:val="28"/>
        </w:rPr>
        <w:t xml:space="preserve">          - наличие заключенного Соглашения о сотрудничестве с АУ «Гарантийный фонд Республики Мордовия».</w:t>
      </w:r>
    </w:p>
    <w:p w:rsidR="00972068" w:rsidRPr="00D50BC4" w:rsidRDefault="00972068" w:rsidP="00FF1412">
      <w:pPr>
        <w:tabs>
          <w:tab w:val="left" w:pos="5976"/>
          <w:tab w:val="left" w:pos="6372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707D6" w:rsidRPr="00F80EA3" w:rsidRDefault="00F80EA3" w:rsidP="00F80E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EA3">
        <w:rPr>
          <w:rFonts w:ascii="Times New Roman" w:hAnsi="Times New Roman"/>
          <w:sz w:val="28"/>
          <w:szCs w:val="28"/>
        </w:rPr>
        <w:t xml:space="preserve">АУ «Гарантийный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B707D6" w:rsidRPr="00F80EA3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>
          <w:rPr>
            <w:rFonts w:ascii="Times New Roman" w:hAnsi="Times New Roman"/>
            <w:sz w:val="28"/>
            <w:szCs w:val="28"/>
          </w:rPr>
          <w:t>пун</w:t>
        </w:r>
        <w:r w:rsidR="00B707D6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p w:rsidR="00537F10" w:rsidRDefault="00537F10" w:rsidP="00972068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537F10" w:rsidSect="00F30864"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1CD"/>
    <w:rsid w:val="000134A1"/>
    <w:rsid w:val="00075D2C"/>
    <w:rsid w:val="00075D51"/>
    <w:rsid w:val="000816F6"/>
    <w:rsid w:val="00081706"/>
    <w:rsid w:val="00084A01"/>
    <w:rsid w:val="000D18EB"/>
    <w:rsid w:val="000F249B"/>
    <w:rsid w:val="00126813"/>
    <w:rsid w:val="001346DE"/>
    <w:rsid w:val="001419C7"/>
    <w:rsid w:val="00161D2B"/>
    <w:rsid w:val="00172041"/>
    <w:rsid w:val="00192DB6"/>
    <w:rsid w:val="001B092B"/>
    <w:rsid w:val="001B277F"/>
    <w:rsid w:val="001F11CD"/>
    <w:rsid w:val="002047A4"/>
    <w:rsid w:val="00224963"/>
    <w:rsid w:val="0027611F"/>
    <w:rsid w:val="002837A7"/>
    <w:rsid w:val="002B4BB8"/>
    <w:rsid w:val="002F4112"/>
    <w:rsid w:val="003010C3"/>
    <w:rsid w:val="0038483A"/>
    <w:rsid w:val="003A5A5C"/>
    <w:rsid w:val="003A6209"/>
    <w:rsid w:val="003C08B7"/>
    <w:rsid w:val="003C7812"/>
    <w:rsid w:val="003F5CD8"/>
    <w:rsid w:val="00456D0F"/>
    <w:rsid w:val="00472913"/>
    <w:rsid w:val="004A3602"/>
    <w:rsid w:val="004C6345"/>
    <w:rsid w:val="004D3B31"/>
    <w:rsid w:val="0052643B"/>
    <w:rsid w:val="005327AE"/>
    <w:rsid w:val="00537F10"/>
    <w:rsid w:val="0057305B"/>
    <w:rsid w:val="005A2080"/>
    <w:rsid w:val="005B1E11"/>
    <w:rsid w:val="005F1A78"/>
    <w:rsid w:val="006513E2"/>
    <w:rsid w:val="006752CA"/>
    <w:rsid w:val="00693514"/>
    <w:rsid w:val="006C005A"/>
    <w:rsid w:val="0071076B"/>
    <w:rsid w:val="0079559B"/>
    <w:rsid w:val="00815E0C"/>
    <w:rsid w:val="00833F2B"/>
    <w:rsid w:val="0083472F"/>
    <w:rsid w:val="00841391"/>
    <w:rsid w:val="00875B91"/>
    <w:rsid w:val="00903932"/>
    <w:rsid w:val="00942C56"/>
    <w:rsid w:val="00972068"/>
    <w:rsid w:val="00985FAB"/>
    <w:rsid w:val="00990C2A"/>
    <w:rsid w:val="009C32F6"/>
    <w:rsid w:val="009F3DE4"/>
    <w:rsid w:val="00AB5DB5"/>
    <w:rsid w:val="00AE7349"/>
    <w:rsid w:val="00B175A1"/>
    <w:rsid w:val="00B24E45"/>
    <w:rsid w:val="00B707D6"/>
    <w:rsid w:val="00BA108E"/>
    <w:rsid w:val="00C123CF"/>
    <w:rsid w:val="00C3157C"/>
    <w:rsid w:val="00C67416"/>
    <w:rsid w:val="00CA29D2"/>
    <w:rsid w:val="00D22F4E"/>
    <w:rsid w:val="00D44073"/>
    <w:rsid w:val="00D45C00"/>
    <w:rsid w:val="00D50BC4"/>
    <w:rsid w:val="00D6795D"/>
    <w:rsid w:val="00DB24D7"/>
    <w:rsid w:val="00DC56FD"/>
    <w:rsid w:val="00DD6518"/>
    <w:rsid w:val="00DD7026"/>
    <w:rsid w:val="00DE0B6B"/>
    <w:rsid w:val="00E31324"/>
    <w:rsid w:val="00E528C5"/>
    <w:rsid w:val="00E66129"/>
    <w:rsid w:val="00EA2349"/>
    <w:rsid w:val="00EC1214"/>
    <w:rsid w:val="00ED6151"/>
    <w:rsid w:val="00EF641C"/>
    <w:rsid w:val="00F1457E"/>
    <w:rsid w:val="00F30864"/>
    <w:rsid w:val="00F6500B"/>
    <w:rsid w:val="00F80EA3"/>
    <w:rsid w:val="00FB07EB"/>
    <w:rsid w:val="00FB475E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A2D5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ED615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346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34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27405&amp;sub=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12027405&amp;sub=57" TargetMode="External"/><Relationship Id="rId5" Type="http://schemas.openxmlformats.org/officeDocument/2006/relationships/hyperlink" Target="http://mobileonline.garant.ru/document?id=890941&amp;sub=1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5019-F356-47E2-BF4D-CC75047C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51</cp:revision>
  <cp:lastPrinted>2018-05-28T08:30:00Z</cp:lastPrinted>
  <dcterms:created xsi:type="dcterms:W3CDTF">2014-09-17T13:00:00Z</dcterms:created>
  <dcterms:modified xsi:type="dcterms:W3CDTF">2018-05-28T08:46:00Z</dcterms:modified>
</cp:coreProperties>
</file>