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A048" w14:textId="232A43B1" w:rsidR="005E6B88" w:rsidRPr="00265591" w:rsidRDefault="005563BD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6B88" w:rsidRPr="002655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14:paraId="3EB4BDE4" w14:textId="77777777" w:rsidR="005E6B88" w:rsidRPr="00265591" w:rsidRDefault="004C5DA5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Наблюдательного с</w:t>
      </w:r>
      <w:r w:rsidR="005E6B88"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</w:t>
      </w:r>
    </w:p>
    <w:p w14:paraId="36E599D0" w14:textId="77777777" w:rsidR="005E6B88" w:rsidRPr="00265591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учреждения «Гарантийный </w:t>
      </w:r>
    </w:p>
    <w:p w14:paraId="214A8D11" w14:textId="77777777" w:rsidR="005E6B88" w:rsidRPr="00265591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фонд кредитного обеспечения</w:t>
      </w:r>
    </w:p>
    <w:p w14:paraId="44128A1C" w14:textId="77777777" w:rsidR="005E6B88" w:rsidRPr="00265591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Республики Мордовия»</w:t>
      </w:r>
    </w:p>
    <w:p w14:paraId="16493236" w14:textId="77777777" w:rsidR="005E6B88" w:rsidRPr="00265591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7F386" w14:textId="65331A55" w:rsidR="005E6B88" w:rsidRPr="00265591" w:rsidRDefault="00DB19DF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</w:t>
      </w:r>
      <w:r w:rsidR="005E6B88" w:rsidRPr="002655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C13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нохин</w:t>
      </w:r>
    </w:p>
    <w:p w14:paraId="5EE60E1B" w14:textId="77777777" w:rsidR="005E6B88" w:rsidRPr="00265591" w:rsidRDefault="005E6B88" w:rsidP="005E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80504" w14:textId="4A8BB5AD" w:rsidR="005E6B88" w:rsidRPr="00265591" w:rsidRDefault="005E6B88" w:rsidP="005E6B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C1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72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725F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C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5F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C71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B19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4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559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40A530D0" w14:textId="77777777" w:rsidR="005E6B88" w:rsidRPr="00265591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E648C" w14:textId="77777777" w:rsidR="005E6B88" w:rsidRPr="00265591" w:rsidRDefault="005E6B88" w:rsidP="0097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11B459" w14:textId="2B0F5DAC" w:rsidR="005E6B88" w:rsidRPr="001944A4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A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A60D6" w:rsidRPr="001944A4">
        <w:rPr>
          <w:rFonts w:ascii="Times New Roman" w:hAnsi="Times New Roman" w:cs="Times New Roman"/>
          <w:b/>
          <w:sz w:val="28"/>
          <w:szCs w:val="28"/>
        </w:rPr>
        <w:t>отбора и</w:t>
      </w:r>
      <w:r w:rsidRPr="001944A4">
        <w:rPr>
          <w:rFonts w:ascii="Times New Roman" w:hAnsi="Times New Roman" w:cs="Times New Roman"/>
          <w:b/>
          <w:sz w:val="28"/>
          <w:szCs w:val="28"/>
        </w:rPr>
        <w:t xml:space="preserve"> аккредитации </w:t>
      </w:r>
      <w:r w:rsidR="004C5DA5" w:rsidRPr="001944A4">
        <w:rPr>
          <w:rFonts w:ascii="Times New Roman" w:hAnsi="Times New Roman" w:cs="Times New Roman"/>
          <w:b/>
          <w:sz w:val="28"/>
          <w:szCs w:val="28"/>
        </w:rPr>
        <w:t xml:space="preserve">кредитных организаций </w:t>
      </w:r>
      <w:r w:rsidRPr="001944A4">
        <w:rPr>
          <w:rFonts w:ascii="Times New Roman" w:hAnsi="Times New Roman" w:cs="Times New Roman"/>
          <w:b/>
          <w:sz w:val="28"/>
          <w:szCs w:val="28"/>
        </w:rPr>
        <w:t>и деаккредитации Банков-партнеров и Обслуживающих банков для участия в программе предоставления поручительств Автономного учреждения «Гарантийный фонд кредитного обеспечения Республики Мордовия»</w:t>
      </w:r>
    </w:p>
    <w:p w14:paraId="02A14EC5" w14:textId="77777777" w:rsidR="00D615EC" w:rsidRPr="001944A4" w:rsidRDefault="00D615EC" w:rsidP="001E589E">
      <w:pPr>
        <w:pStyle w:val="3"/>
        <w:numPr>
          <w:ilvl w:val="0"/>
          <w:numId w:val="5"/>
        </w:numPr>
        <w:spacing w:after="120"/>
        <w:jc w:val="center"/>
        <w:rPr>
          <w:rFonts w:ascii="Times New Roman" w:hAnsi="Times New Roman"/>
          <w:sz w:val="28"/>
          <w:szCs w:val="28"/>
        </w:rPr>
      </w:pPr>
      <w:bookmarkStart w:id="0" w:name="_Toc454788636"/>
      <w:r w:rsidRPr="001944A4"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14:paraId="01577B6A" w14:textId="31DE95BC" w:rsidR="0091066A" w:rsidRPr="001944A4" w:rsidRDefault="00BA0313" w:rsidP="00F815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1.1. </w:t>
      </w:r>
      <w:r w:rsidR="00D615E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Определенные настоящим Порядком ключевые подходы к процессу отбора и аккредитации не распространяются на Банки, аккредитованные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автономным учреждением «</w:t>
      </w:r>
      <w:r w:rsidR="00D615E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Гарантийны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 фонд кредитного обеспечения Республики Мордовия» (далее- Фонд)</w:t>
      </w:r>
      <w:r w:rsidR="00D615E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до утверждения настоящего Порядка. Определенные настоящим Порядком подходы к процессу мониторинга, приостановления/возобновления сотрудничества и деаккредитации Обслуживающих банков и Банков-партнеров являются едиными и применяются ко всем Банкам</w:t>
      </w:r>
      <w:r w:rsidR="00230B2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кроме мониторинга Банков-партнеров в рамках Механизма</w:t>
      </w:r>
      <w:r w:rsidR="00D615E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14264C8F" w14:textId="77777777" w:rsidR="0091066A" w:rsidRPr="001944A4" w:rsidRDefault="00BA0313" w:rsidP="00F815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1.2.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Фонд</w:t>
      </w:r>
      <w:r w:rsidR="00D615E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сотрудничает с Банками, успешно прошедшими процедуру отбора и аккредитации в качестве Обслуживающих банков и/или Банков-партнеров в соответствии с принципами и подходами, определенными АО «Корпорация «МСП».</w:t>
      </w:r>
    </w:p>
    <w:p w14:paraId="7BB16E54" w14:textId="77777777" w:rsidR="00230B24" w:rsidRPr="001944A4" w:rsidRDefault="00230B24" w:rsidP="001E589E">
      <w:pPr>
        <w:spacing w:after="120"/>
        <w:ind w:left="720" w:firstLine="183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bookmarkStart w:id="1" w:name="_Toc454788637"/>
    </w:p>
    <w:p w14:paraId="520CC87F" w14:textId="77777777" w:rsidR="0091066A" w:rsidRPr="001944A4" w:rsidRDefault="0091066A" w:rsidP="001E589E">
      <w:pPr>
        <w:spacing w:after="120"/>
        <w:ind w:left="720" w:firstLine="183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2. Требования к Банкам-партнерам</w:t>
      </w:r>
      <w:bookmarkEnd w:id="1"/>
    </w:p>
    <w:p w14:paraId="4F74A0AE" w14:textId="370EE04C" w:rsidR="00574E6B" w:rsidRPr="001944A4" w:rsidRDefault="002B1FC8" w:rsidP="00E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91066A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.1. </w:t>
      </w:r>
      <w:bookmarkStart w:id="2" w:name="_Hlk52810053"/>
      <w:r w:rsidR="0091066A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 участию в аккредитации в качестве Банков-партнеров для работы в рамках предоставления Субъектам МСП</w:t>
      </w:r>
      <w:r w:rsidR="00F009F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F009F3" w:rsidRPr="001944A4">
        <w:rPr>
          <w:sz w:val="28"/>
          <w:szCs w:val="28"/>
          <w:shd w:val="clear" w:color="auto" w:fill="FFFFFF"/>
        </w:rPr>
        <w:t xml:space="preserve"> </w:t>
      </w:r>
      <w:r w:rsidR="00F009F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физическими лицами, применяющими специальный налоговый режим «Налог на профессиональный доход»</w:t>
      </w:r>
      <w:r w:rsidR="0091066A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поручительства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91066A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онда приглашаются Б</w:t>
      </w:r>
      <w:r w:rsidR="00C85D49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анки</w:t>
      </w:r>
      <w:r w:rsidR="005563BD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574E6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отвечающие следующим ключевым критериям:</w:t>
      </w:r>
    </w:p>
    <w:p w14:paraId="173D772A" w14:textId="77777777" w:rsidR="00E35CCC" w:rsidRPr="001944A4" w:rsidRDefault="00574E6B" w:rsidP="00E35C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1741"/>
      <w:bookmarkEnd w:id="2"/>
      <w:r w:rsidRPr="001944A4">
        <w:rPr>
          <w:color w:val="000000" w:themeColor="text1"/>
          <w:sz w:val="28"/>
          <w:szCs w:val="28"/>
          <w:lang w:eastAsia="zh-CN"/>
        </w:rPr>
        <w:t xml:space="preserve">1) </w:t>
      </w:r>
      <w:r w:rsidR="00E35CCC" w:rsidRPr="001944A4">
        <w:rPr>
          <w:color w:val="000000" w:themeColor="text1"/>
          <w:sz w:val="28"/>
          <w:szCs w:val="28"/>
        </w:rPr>
        <w:t>наличие лицензии Центрального Банка Российской Федерации на осуществление банковских операций;</w:t>
      </w:r>
    </w:p>
    <w:p w14:paraId="6FA204B1" w14:textId="77777777" w:rsidR="00E35CCC" w:rsidRPr="001944A4" w:rsidRDefault="00E35CCC" w:rsidP="00E35C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 xml:space="preserve">2) наличие положительного аудиторского заключения по бухгалтерской (финансовой) отчетности кредитной организации, составленной в соответствии с международными стандартами финансовой отчетности (МСФО), за два последних отчетных года по кредитной организации или банковской группе при вхождении кредитной организации в банковскую группу. В случае если требования законодательства Российской Федерации не </w:t>
      </w:r>
      <w:r w:rsidRPr="001944A4">
        <w:rPr>
          <w:color w:val="000000" w:themeColor="text1"/>
          <w:sz w:val="28"/>
          <w:szCs w:val="28"/>
        </w:rPr>
        <w:lastRenderedPageBreak/>
        <w:t>обязывают кредитную организацию формировать бухгалтерскую (финансовую) отчетность в соответствии с МСФО, требование о наличии положительного аудиторского заключения относится к бухгалтерской (финансовой) отчетности, составленной в соответствии с российскими стандартами бухгалтерского учета (РСБУ);</w:t>
      </w:r>
    </w:p>
    <w:p w14:paraId="359AFDF3" w14:textId="77777777" w:rsidR="00E35CCC" w:rsidRPr="001944A4" w:rsidRDefault="00E35CCC" w:rsidP="00F128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3)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Федерации;</w:t>
      </w:r>
    </w:p>
    <w:p w14:paraId="0038BB58" w14:textId="645CE9C4" w:rsidR="00E35CCC" w:rsidRPr="001944A4" w:rsidRDefault="00E35CCC" w:rsidP="00F128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4) наличие опыта работы по кредитованию субъектов МСП не менее 6 (шести) месяцев, в том числе наличие:</w:t>
      </w:r>
    </w:p>
    <w:p w14:paraId="1B77BC31" w14:textId="77777777" w:rsidR="00E35CCC" w:rsidRPr="001944A4" w:rsidRDefault="00E35CCC" w:rsidP="00F128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а) сформированного портфеля кредитов и (или) банковских гарантий, предоставленных субъектам МСП на дату подачи кредитной организацией заявления для участия в отборе;</w:t>
      </w:r>
    </w:p>
    <w:p w14:paraId="264CCFB6" w14:textId="7A1C3820" w:rsidR="00F128ED" w:rsidRPr="001944A4" w:rsidRDefault="00E35CCC" w:rsidP="00F128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б) специализированных технологий (программ) работы с субъектами МСП</w:t>
      </w:r>
      <w:bookmarkStart w:id="4" w:name="_Hlk71792022"/>
      <w:bookmarkStart w:id="5" w:name="sub_1746"/>
      <w:bookmarkEnd w:id="3"/>
      <w:r w:rsidR="00BD01EC" w:rsidRPr="001944A4">
        <w:rPr>
          <w:color w:val="000000" w:themeColor="text1"/>
          <w:sz w:val="28"/>
          <w:szCs w:val="28"/>
        </w:rPr>
        <w:t>,</w:t>
      </w:r>
      <w:r w:rsidR="00F128ED" w:rsidRPr="001944A4">
        <w:rPr>
          <w:sz w:val="28"/>
          <w:szCs w:val="28"/>
          <w:shd w:val="clear" w:color="auto" w:fill="FFFFFF"/>
        </w:rPr>
        <w:t xml:space="preserve"> физическими лицами, применяющими специальный налоговый режим «Налог на профессиональный доход»</w:t>
      </w:r>
      <w:r w:rsidR="00F128ED" w:rsidRPr="001944A4">
        <w:rPr>
          <w:sz w:val="28"/>
          <w:szCs w:val="28"/>
        </w:rPr>
        <w:t>;</w:t>
      </w:r>
      <w:bookmarkEnd w:id="4"/>
    </w:p>
    <w:p w14:paraId="6BC94EFC" w14:textId="77777777" w:rsidR="00F128ED" w:rsidRPr="001944A4" w:rsidRDefault="00F128ED" w:rsidP="00F128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4A4">
        <w:rPr>
          <w:sz w:val="28"/>
          <w:szCs w:val="28"/>
        </w:rPr>
        <w:t xml:space="preserve">в) внутренней нормативной документации, в том числе утвержденной стратегии или отдельного раздела в стратегии, регламентирующих порядок работы с субъектами МСП, </w:t>
      </w:r>
      <w:r w:rsidRPr="001944A4">
        <w:rPr>
          <w:sz w:val="28"/>
          <w:szCs w:val="28"/>
          <w:shd w:val="clear" w:color="auto" w:fill="FFFFFF"/>
        </w:rPr>
        <w:t>физическими лицами, применяющими специальный налоговый режим «Налог на профессиональный доход»</w:t>
      </w:r>
      <w:r w:rsidRPr="001944A4">
        <w:rPr>
          <w:sz w:val="28"/>
          <w:szCs w:val="28"/>
        </w:rPr>
        <w:t>.</w:t>
      </w:r>
    </w:p>
    <w:p w14:paraId="67EB2AED" w14:textId="24E7F988" w:rsidR="00495CA3" w:rsidRPr="001944A4" w:rsidRDefault="00495CA3" w:rsidP="00F128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  <w:lang w:eastAsia="zh-CN"/>
        </w:rPr>
        <w:t xml:space="preserve">2.2. </w:t>
      </w:r>
      <w:r w:rsidRPr="001944A4">
        <w:rPr>
          <w:color w:val="000000" w:themeColor="text1"/>
          <w:sz w:val="28"/>
          <w:szCs w:val="28"/>
        </w:rPr>
        <w:t>В рамках доступа Субъектов МСП к механизму предоставления поручительств Фондом на основе оценки кредитного риска, проведенной банком-партнером, инициирующим предоставление поручительства без проведения дополнительного анализа кредитоспособности (повторного андеррайтинга) Субъекта МСП допускаются Банки-партнеры соответствующие требованиям АО «Корпорация «МСП» к кредитному процессу и рейтинговым моделям, используемым Банками-партнерами в целях определения кредитного качества  Субъекта МСП и вероятности дефолта по его обязательствам, является основанием допуска финансовой организации  к взаимодействию с участниками НГС в рамках кредитно-гарантийной поддержки Субъектов МСП.</w:t>
      </w:r>
    </w:p>
    <w:p w14:paraId="43DABC09" w14:textId="77777777" w:rsidR="00495CA3" w:rsidRPr="001944A4" w:rsidRDefault="00495CA3" w:rsidP="00495CA3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/>
          <w:color w:val="000000" w:themeColor="text1"/>
          <w:sz w:val="28"/>
          <w:szCs w:val="28"/>
        </w:rPr>
        <w:t xml:space="preserve">Оценка соответствия требованиям проводится АО «Корпорация «МСП» путем изучения нормативной базы Банка-партнера, регулирующей кредитный процесс, положений о подразделениях, проводящих оценку кредитного качества Заемщиков, а также статистической информации о фактической </w:t>
      </w:r>
      <w:proofErr w:type="spellStart"/>
      <w:r w:rsidRPr="001944A4">
        <w:rPr>
          <w:rFonts w:ascii="Times New Roman" w:hAnsi="Times New Roman"/>
          <w:color w:val="000000" w:themeColor="text1"/>
          <w:sz w:val="28"/>
          <w:szCs w:val="28"/>
        </w:rPr>
        <w:t>дефолтности</w:t>
      </w:r>
      <w:proofErr w:type="spellEnd"/>
      <w:r w:rsidRPr="001944A4">
        <w:rPr>
          <w:rFonts w:ascii="Times New Roman" w:hAnsi="Times New Roman"/>
          <w:color w:val="000000" w:themeColor="text1"/>
          <w:sz w:val="28"/>
          <w:szCs w:val="28"/>
        </w:rPr>
        <w:t xml:space="preserve"> в разрезе рейтингов, предоставленных Банком-партнером АО «Корпорация «МСП».</w:t>
      </w:r>
    </w:p>
    <w:p w14:paraId="396C7B5D" w14:textId="77777777" w:rsidR="00495CA3" w:rsidRPr="001944A4" w:rsidRDefault="00495CA3" w:rsidP="00495CA3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проведения оценки на соответствие Банка-партнера требованиям АО «Корпорация «МСП» подготавливает заключение по допуску Банка-партнера к механизму и определению граничных значений рейтингов с описанием: подсегмент, кредитных продуктов финансовой организации, </w:t>
      </w:r>
      <w:r w:rsidRPr="001944A4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целевой структуры рейтингов и иных условий в целях принятия соответствующего решения Правления АО «Корпорация «МСП».</w:t>
      </w:r>
    </w:p>
    <w:p w14:paraId="11C56D50" w14:textId="77777777" w:rsidR="00495CA3" w:rsidRPr="001944A4" w:rsidRDefault="00495CA3" w:rsidP="00495CA3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/>
          <w:color w:val="000000" w:themeColor="text1"/>
          <w:sz w:val="28"/>
          <w:szCs w:val="28"/>
        </w:rPr>
        <w:t>В соответствии с методикой анализа кредитного процесса, продуктового ряда и рейтинговых моделей Банков-партнеров АО «Корпорация «МСП» проводит ежеквартальный мониторинг Банка-партнера на предмет возможности сохранения вывода о соответствии требованиям с учетом условий и ограничений, установленных при принятии решения о допуске Банка-партнера к Механизму, а также на предмет наличия необходимости внесения изменений в условия допуска к Механизму, в том числе определения новых граничных значений рейтингов/целевой структуры рейтингов, или прекращения допуска Банка-партнера к Механизму.</w:t>
      </w:r>
    </w:p>
    <w:p w14:paraId="5DFF5753" w14:textId="77777777" w:rsidR="00495CA3" w:rsidRPr="001944A4" w:rsidRDefault="00495CA3" w:rsidP="00495CA3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/>
          <w:color w:val="000000" w:themeColor="text1"/>
          <w:sz w:val="28"/>
          <w:szCs w:val="28"/>
        </w:rPr>
        <w:t>Решение о присоединении Фонда к Механизму принимается Наблюдательным советом автономного учреждения «Гарантийный фонд кредитного обеспечения Республики Мордовия» путем подписания заявления и направления соответствующего уведомления в Банк-партнер и АО «Корпорация «МСП».</w:t>
      </w:r>
    </w:p>
    <w:p w14:paraId="27C5ED03" w14:textId="77777777" w:rsidR="00495CA3" w:rsidRPr="001944A4" w:rsidRDefault="00495CA3" w:rsidP="00495CA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вправе отказаться от взаимодействия в рамках Механизма, в официальном порядке уведомив об этом АО Корпорация «МСП» и </w:t>
      </w:r>
      <w:r w:rsidRPr="001944A4">
        <w:rPr>
          <w:rFonts w:ascii="Times New Roman" w:hAnsi="Times New Roman"/>
          <w:color w:val="000000" w:themeColor="text1"/>
          <w:sz w:val="28"/>
          <w:szCs w:val="28"/>
        </w:rPr>
        <w:t>Банк-партнер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22481B" w14:textId="77777777" w:rsidR="00495CA3" w:rsidRPr="001944A4" w:rsidRDefault="00495CA3" w:rsidP="00495CA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взаимодействия Фонда с Банками-партнерами посредством автоматизированных систем электронного документооборота (АС «Сфера-Курьер» (Корус)/Faktura.ru и др.).</w:t>
      </w:r>
    </w:p>
    <w:p w14:paraId="305727CC" w14:textId="77777777" w:rsidR="00BA0313" w:rsidRPr="001944A4" w:rsidRDefault="00BA0313" w:rsidP="001E589E">
      <w:pPr>
        <w:spacing w:after="120"/>
        <w:ind w:left="720" w:firstLine="183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1A9E893D" w14:textId="77777777" w:rsidR="002B1FC8" w:rsidRPr="001944A4" w:rsidRDefault="002B1FC8" w:rsidP="00C13373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3.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Требования к Обслуживающим банкам</w:t>
      </w:r>
    </w:p>
    <w:p w14:paraId="4F03B19D" w14:textId="77777777" w:rsidR="002B1FC8" w:rsidRPr="001944A4" w:rsidRDefault="002B1FC8" w:rsidP="00F815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3.1.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 осуществляет инвестирование и (или) размещение времен</w:t>
      </w:r>
      <w:bookmarkStart w:id="6" w:name="sub_11012"/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 свободных денежных средств в депозиты и (или) расчетные счета в</w:t>
      </w:r>
      <w:r w:rsidR="00535EF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аккредитованных в качестве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Обслуживающих банк</w:t>
      </w:r>
      <w:r w:rsidR="00535EF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ов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номинированные в валюте Российской Федерации денежные средства в рублях</w:t>
      </w:r>
      <w:bookmarkEnd w:id="6"/>
      <w:r w:rsidR="00535EF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использованием принципов диверсификации, возвратности, ликвидности и доходности.</w:t>
      </w:r>
    </w:p>
    <w:p w14:paraId="5BC1C6AD" w14:textId="77777777" w:rsidR="001C1EE7" w:rsidRPr="001944A4" w:rsidRDefault="002B1FC8" w:rsidP="00EB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3.2. </w:t>
      </w:r>
      <w:bookmarkStart w:id="7" w:name="_Hlk52811777"/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качестве совокупного набора требований, необходимых для аккредитации Банка в качестве Обслуживающего банка,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 руководствуется следующим</w:t>
      </w:r>
      <w:r w:rsidR="004A27ED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A27ED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требованиями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14:paraId="4C27B8FC" w14:textId="77777777" w:rsidR="00EB38DE" w:rsidRPr="001944A4" w:rsidRDefault="002B1FC8" w:rsidP="00EB38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" w:name="sub_11021"/>
      <w:bookmarkEnd w:id="7"/>
      <w:r w:rsidRPr="001944A4">
        <w:rPr>
          <w:color w:val="000000" w:themeColor="text1"/>
          <w:sz w:val="28"/>
          <w:szCs w:val="28"/>
          <w:lang w:eastAsia="zh-CN"/>
        </w:rPr>
        <w:t xml:space="preserve">1) </w:t>
      </w:r>
      <w:r w:rsidR="00EB38DE" w:rsidRPr="001944A4">
        <w:rPr>
          <w:color w:val="000000" w:themeColor="text1"/>
          <w:sz w:val="28"/>
          <w:szCs w:val="28"/>
        </w:rPr>
        <w:t>наличие у кредитной организации универсальной или базовой лицензии Центрального Банка Российской Федерации на осуществление банковских операций;</w:t>
      </w:r>
    </w:p>
    <w:p w14:paraId="3391867D" w14:textId="088B11B7" w:rsidR="00DB19DF" w:rsidRDefault="00EB38DE" w:rsidP="00EB38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 xml:space="preserve">2) наличие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8" w:tgtFrame="_blank" w:history="1">
        <w:r w:rsidRPr="001944A4">
          <w:rPr>
            <w:rStyle w:val="a8"/>
            <w:color w:val="000000" w:themeColor="text1"/>
            <w:sz w:val="28"/>
            <w:szCs w:val="28"/>
            <w:u w:val="none"/>
          </w:rPr>
          <w:t>www.cbr.ru</w:t>
        </w:r>
      </w:hyperlink>
      <w:r w:rsidRPr="001944A4">
        <w:rPr>
          <w:color w:val="000000" w:themeColor="text1"/>
          <w:sz w:val="28"/>
          <w:szCs w:val="28"/>
        </w:rPr>
        <w:t xml:space="preserve"> в сети «Интернет» в соответствии со статьёй 57 Закона о Банке </w:t>
      </w:r>
      <w:r w:rsidRPr="00DB19DF">
        <w:rPr>
          <w:sz w:val="28"/>
          <w:szCs w:val="28"/>
        </w:rPr>
        <w:t>России</w:t>
      </w:r>
      <w:r w:rsidR="00DB19DF">
        <w:rPr>
          <w:sz w:val="28"/>
          <w:szCs w:val="28"/>
        </w:rPr>
        <w:t xml:space="preserve"> или на основании информации, предоставленной кредитной организацией по запросу Фонда;</w:t>
      </w:r>
    </w:p>
    <w:p w14:paraId="1496684E" w14:textId="60F6088C" w:rsidR="00EB38DE" w:rsidRPr="001944A4" w:rsidRDefault="00EB38DE" w:rsidP="00EB38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 xml:space="preserve">3)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</w:t>
      </w:r>
      <w:r w:rsidRPr="001944A4">
        <w:rPr>
          <w:color w:val="000000" w:themeColor="text1"/>
          <w:sz w:val="28"/>
          <w:szCs w:val="28"/>
        </w:rPr>
        <w:lastRenderedPageBreak/>
        <w:t>рейтингового агентства Акционерное общество «Рейтинговое агентство «Эксперт РА» не ниже уровня «</w:t>
      </w:r>
      <w:proofErr w:type="spellStart"/>
      <w:r w:rsidRPr="001944A4">
        <w:rPr>
          <w:color w:val="000000" w:themeColor="text1"/>
          <w:sz w:val="28"/>
          <w:szCs w:val="28"/>
        </w:rPr>
        <w:t>ruA</w:t>
      </w:r>
      <w:proofErr w:type="spellEnd"/>
      <w:r w:rsidRPr="001944A4">
        <w:rPr>
          <w:color w:val="000000" w:themeColor="text1"/>
          <w:sz w:val="28"/>
          <w:szCs w:val="28"/>
        </w:rPr>
        <w:t>-»;</w:t>
      </w:r>
    </w:p>
    <w:p w14:paraId="692C4788" w14:textId="77777777" w:rsidR="00EB38DE" w:rsidRPr="001944A4" w:rsidRDefault="00EB38DE" w:rsidP="00EB38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4) срок деятельности кредитной организации с даты ее регистрации составляет не менее 5 (пяти) лет;</w:t>
      </w:r>
    </w:p>
    <w:p w14:paraId="62C12C62" w14:textId="3B053BF5" w:rsidR="00EB38DE" w:rsidRPr="001944A4" w:rsidRDefault="00EB38DE" w:rsidP="00EB38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5)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</w:t>
      </w:r>
    </w:p>
    <w:p w14:paraId="27D08EBC" w14:textId="14EFCB53" w:rsidR="00EB38DE" w:rsidRPr="001944A4" w:rsidRDefault="00EB38DE" w:rsidP="00EB38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 xml:space="preserve">6) 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 w:rsidR="002D0E73" w:rsidRPr="001944A4">
        <w:rPr>
          <w:color w:val="000000" w:themeColor="text1"/>
          <w:sz w:val="28"/>
          <w:szCs w:val="28"/>
        </w:rPr>
        <w:t>Фонда</w:t>
      </w:r>
      <w:r w:rsidRPr="001944A4">
        <w:rPr>
          <w:color w:val="000000" w:themeColor="text1"/>
          <w:sz w:val="28"/>
          <w:szCs w:val="28"/>
        </w:rPr>
        <w:t>;</w:t>
      </w:r>
    </w:p>
    <w:p w14:paraId="6699F7F3" w14:textId="521F3887" w:rsidR="00EB38DE" w:rsidRPr="001944A4" w:rsidRDefault="00EB38DE" w:rsidP="00EB38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 xml:space="preserve">7)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г. №177-ФЗ </w:t>
      </w:r>
      <w:r w:rsidR="00F208FD" w:rsidRPr="001944A4">
        <w:rPr>
          <w:color w:val="000000" w:themeColor="text1"/>
          <w:sz w:val="28"/>
          <w:szCs w:val="28"/>
        </w:rPr>
        <w:t>«</w:t>
      </w:r>
      <w:r w:rsidRPr="001944A4">
        <w:rPr>
          <w:color w:val="000000" w:themeColor="text1"/>
          <w:sz w:val="28"/>
          <w:szCs w:val="28"/>
        </w:rPr>
        <w:t>О страховании вкладов в банках Российской Федерации</w:t>
      </w:r>
      <w:r w:rsidR="00F208FD" w:rsidRPr="001944A4">
        <w:rPr>
          <w:color w:val="000000" w:themeColor="text1"/>
          <w:sz w:val="28"/>
          <w:szCs w:val="28"/>
        </w:rPr>
        <w:t>»</w:t>
      </w:r>
      <w:r w:rsidR="00F208FD" w:rsidRPr="001944A4">
        <w:rPr>
          <w:color w:val="000000" w:themeColor="text1"/>
          <w:sz w:val="28"/>
          <w:szCs w:val="28"/>
          <w:shd w:val="clear" w:color="auto" w:fill="FFFFFF"/>
        </w:rPr>
        <w:t>.</w:t>
      </w:r>
    </w:p>
    <w:bookmarkEnd w:id="5"/>
    <w:bookmarkEnd w:id="8"/>
    <w:p w14:paraId="18C17C4A" w14:textId="77777777" w:rsidR="00574E6B" w:rsidRPr="001944A4" w:rsidRDefault="00574E6B" w:rsidP="001E589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1C9D1A3" w14:textId="77777777" w:rsidR="00A82AB9" w:rsidRPr="001944A4" w:rsidRDefault="004A27ED" w:rsidP="00885C0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bookmarkStart w:id="9" w:name="_Toc454788640"/>
      <w:r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4. Аккредитация Банков</w:t>
      </w:r>
    </w:p>
    <w:p w14:paraId="467C413E" w14:textId="77777777" w:rsidR="004A27ED" w:rsidRPr="001944A4" w:rsidRDefault="004A27ED" w:rsidP="00DB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в качестве Банков-партнеров и Обслуживающих банков</w:t>
      </w:r>
      <w:bookmarkEnd w:id="9"/>
    </w:p>
    <w:p w14:paraId="4CA28E9F" w14:textId="77777777" w:rsidR="003622C3" w:rsidRPr="001944A4" w:rsidRDefault="00A82AB9" w:rsidP="00DB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4.1. </w:t>
      </w:r>
      <w:r w:rsidR="003622C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Аккредитация Банков-партнеров:</w:t>
      </w:r>
    </w:p>
    <w:p w14:paraId="13465390" w14:textId="4A14A7D2" w:rsidR="003E6C86" w:rsidRPr="001944A4" w:rsidRDefault="003622C3" w:rsidP="00DB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4.1.1.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3A4E6F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 заключает соглашения</w:t>
      </w:r>
      <w:r w:rsidR="003A4E6F" w:rsidRPr="001944A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A4E6F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 сотрудничестве с Банками-партнерами, </w:t>
      </w:r>
      <w:r w:rsidR="00F03C49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прошедшими отбор на </w:t>
      </w:r>
      <w:r w:rsidR="00F6620D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</w:t>
      </w:r>
      <w:r w:rsidR="003E6C8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ответств</w:t>
      </w:r>
      <w:r w:rsidR="00F03C49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ие</w:t>
      </w:r>
      <w:r w:rsidR="003E6C8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0078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требованиям,</w:t>
      </w:r>
      <w:r w:rsidR="003E6C8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раздела 2 данного Порядка</w:t>
      </w:r>
      <w:r w:rsidR="00F03C49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0C008113" w14:textId="77777777" w:rsidR="004A794B" w:rsidRPr="001944A4" w:rsidRDefault="00F03C49" w:rsidP="00F8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4.1.2</w:t>
      </w:r>
      <w:r w:rsidR="004A794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Решение об аккредитации Банка</w:t>
      </w:r>
      <w:r w:rsidR="00BA661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-п</w:t>
      </w:r>
      <w:r w:rsidR="004A794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артнера принимает Наблюдательный совет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4A794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онда.</w:t>
      </w:r>
    </w:p>
    <w:p w14:paraId="0A646D81" w14:textId="77777777" w:rsidR="003622C3" w:rsidRPr="001944A4" w:rsidRDefault="003622C3" w:rsidP="00F8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4.2. Аккредитация Обслуживающих банков:</w:t>
      </w:r>
    </w:p>
    <w:p w14:paraId="49C998CC" w14:textId="77777777" w:rsidR="003622C3" w:rsidRPr="001944A4" w:rsidRDefault="003622C3" w:rsidP="00F8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4.2.1. </w:t>
      </w:r>
      <w:r w:rsidR="00BA661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="004527CD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ккредитация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6B43EE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ондом </w:t>
      </w:r>
      <w:r w:rsidR="004527CD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Банков в качестве Обслуживающих осуществляется в соответствии с критериями</w:t>
      </w:r>
      <w:r w:rsidR="006B43EE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раздела 3 данного Порядка</w:t>
      </w:r>
      <w:r w:rsidR="00ED032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требований конкурсной документации</w:t>
      </w:r>
      <w:r w:rsidR="00D022EE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6B43EE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022EE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 проводится </w:t>
      </w:r>
      <w:r w:rsidR="00FA315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одновременно с</w:t>
      </w:r>
      <w:r w:rsidR="006B43EE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проведени</w:t>
      </w:r>
      <w:r w:rsidR="00FA315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ем</w:t>
      </w:r>
      <w:r w:rsidR="006B43EE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конкурсно</w:t>
      </w:r>
      <w:r w:rsidR="00ED032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="006B43EE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 отбора</w:t>
      </w:r>
      <w:r w:rsidR="00ED032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A315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Банков </w:t>
      </w:r>
      <w:r w:rsidR="00ED032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 размещению </w:t>
      </w:r>
      <w:r w:rsidR="00A54A40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временно свободных </w:t>
      </w:r>
      <w:r w:rsidR="00ED032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денежных средств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ED032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онда</w:t>
      </w:r>
      <w:r w:rsidR="00FA315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55F7A705" w14:textId="77777777" w:rsidR="00752EA7" w:rsidRPr="001944A4" w:rsidRDefault="00FA3153" w:rsidP="00F8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4.2.2. Р</w:t>
      </w:r>
      <w:r w:rsidR="00752EA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ешение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об аккредитации Банка в качестве Обслуживающего банка принимает Наблюдательный совет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онда.</w:t>
      </w:r>
    </w:p>
    <w:p w14:paraId="18CF4DA6" w14:textId="77777777" w:rsidR="00AD35C4" w:rsidRPr="001944A4" w:rsidRDefault="00AD35C4" w:rsidP="00F8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4.2.3. К Обслуживающим банкам, аккредитованным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ондом относятся банки, прошедшие конкурсный отбор и заключившие договор по размещению </w:t>
      </w:r>
      <w:r w:rsidR="00A54A40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временно свободных денежных 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средств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онда.</w:t>
      </w:r>
    </w:p>
    <w:p w14:paraId="63E2A32F" w14:textId="77777777" w:rsidR="00AD35C4" w:rsidRPr="001944A4" w:rsidRDefault="00AD35C4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089B1FAA" w14:textId="3769EE04" w:rsidR="000E0FD7" w:rsidRPr="001944A4" w:rsidRDefault="000E0FD7" w:rsidP="00DB19DF">
      <w:pPr>
        <w:tabs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Порядок проведения отбора</w:t>
      </w:r>
      <w:r w:rsidR="00746072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72" w:rsidRPr="0019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Банков</w:t>
      </w:r>
      <w:r w:rsidR="00746072"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-партнеров</w:t>
      </w:r>
    </w:p>
    <w:p w14:paraId="0A8FE823" w14:textId="77777777" w:rsidR="000E0FD7" w:rsidRPr="001944A4" w:rsidRDefault="00F00499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Процедура </w:t>
      </w:r>
      <w:r w:rsidR="00746072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 w:rsidR="0074607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</w:t>
      </w:r>
      <w:r w:rsidR="00F03C49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отбора включает в себя несколько этапов:</w:t>
      </w:r>
    </w:p>
    <w:p w14:paraId="4DC9414F" w14:textId="77777777" w:rsidR="000E0FD7" w:rsidRPr="001944A4" w:rsidRDefault="00F00499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4B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предоставленно</w:t>
      </w:r>
      <w:r w:rsidR="00164E23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D04B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</w:t>
      </w:r>
      <w:r w:rsidR="00164E23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вления</w:t>
      </w:r>
      <w:r w:rsidR="006D04B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974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намерении заключить соглашение о сотрудничестве </w:t>
      </w:r>
      <w:r w:rsidR="006D04B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подтверждающих соответствие Банка требованиям, установленным разделом 2 настоящего Порядка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о заключении соглашения о порядке сотрудничества по программе предоставления поручительств</w:t>
      </w:r>
      <w:r w:rsidR="006D04B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DB4F30" w14:textId="77777777" w:rsidR="00F03C49" w:rsidRPr="001944A4" w:rsidRDefault="00F03C49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5.1.2. Перечень документов, прикладываемых к заяв</w:t>
      </w:r>
      <w:r w:rsidR="00164E23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79B5F6" w14:textId="77777777" w:rsidR="00F03C49" w:rsidRPr="001944A4" w:rsidRDefault="00164E23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лицензии</w:t>
      </w:r>
      <w:r w:rsidR="00F03C49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Банка Российской Федерации на осуществление банковских операций;</w:t>
      </w:r>
    </w:p>
    <w:p w14:paraId="0C4669D3" w14:textId="46761F43" w:rsidR="00F03C49" w:rsidRPr="001944A4" w:rsidRDefault="00164E23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</w:t>
      </w:r>
      <w:r w:rsidR="00A42631" w:rsidRPr="001944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положительного аудиторского заключения по бухгалтерской (финансовой) отчетности кредитной организации, составленной в соответствии с международными стандартами финансовой отчетности (МСФО), за два последних отчетных года по кредитной организации или банковской группе при вхождении кредитной организации в банковскую группу. В случае если требования законодательства Российской Федерации не обязывают кредитную организацию формировать бухгалтерскую (финансовую) отчетность в соответствии с МСФО, требование о наличии положительного аудиторского заключения относится к бухгалтерской (финансовой) отчетности, составленной в соответствии с российскими стандартами бухгалтерского учета (РСБУ)</w:t>
      </w:r>
      <w:r w:rsidR="00A42631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(прикладывается заключение без приложения);</w:t>
      </w:r>
    </w:p>
    <w:p w14:paraId="045673C3" w14:textId="77777777" w:rsidR="00F03C49" w:rsidRPr="001944A4" w:rsidRDefault="00164E23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письмо об 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примененных Центральным Банком Российской Федерации в отношении Банка санкций 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Федерации;</w:t>
      </w:r>
    </w:p>
    <w:p w14:paraId="37E9D5B4" w14:textId="3D6C2FB6" w:rsidR="00F03C49" w:rsidRPr="001944A4" w:rsidRDefault="00164E23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письмо, подтверждающее 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наличи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работы по кредитованию Субъектов МСП не менее 6 (шести) месяцев, в том числе 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подтверждающее 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наличие:</w:t>
      </w:r>
    </w:p>
    <w:p w14:paraId="20B83E1F" w14:textId="77777777" w:rsidR="00F03C49" w:rsidRPr="001944A4" w:rsidRDefault="00164E23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сформированного портфеля кредитов и (или) банковских гарантий, предоставленных Субъектам МСП на дату подачи Банком заявления для участия в отборе;</w:t>
      </w:r>
    </w:p>
    <w:p w14:paraId="5733FC09" w14:textId="5007F869" w:rsidR="00F03C49" w:rsidRPr="001944A4" w:rsidRDefault="00164E23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специализированных технологий (программ) работы с Субъектами МСП</w:t>
      </w:r>
      <w:r w:rsidR="00662A6A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2A6A" w:rsidRPr="00194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физическими лицами, применяющими специальный налоговый режим «Налог на профессиональный доход»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58B7C5" w14:textId="204AD06B" w:rsidR="00F03C49" w:rsidRPr="001944A4" w:rsidRDefault="00F81562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64E23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письмо, подтверждающее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внутренней нормативной документации, в том числе в форме письменного документа утвержденной стратегии или отдельного раздела в стратегии (программы/политики/ключевых направлений деятельности и т. п.), регламентирующих порядок работы с Субъектами МСП</w:t>
      </w:r>
      <w:r w:rsidR="00662A6A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2A6A" w:rsidRPr="00194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физическими лицами, применяющими специальный налоговый режим «Налог на профессиональный доход»</w:t>
      </w:r>
      <w:r w:rsidR="00662A6A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8EB384" w14:textId="47A0510B" w:rsidR="00F03C49" w:rsidRPr="001944A4" w:rsidRDefault="00164E23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</w:t>
      </w:r>
      <w:r w:rsidR="00A764E2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0AF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прикладываемых к заявлению</w:t>
      </w:r>
      <w:r w:rsidR="00A764E2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00AF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заверены уполномоченным лицом Банка.</w:t>
      </w:r>
    </w:p>
    <w:p w14:paraId="0B89BC94" w14:textId="54368A6D" w:rsidR="000E0FD7" w:rsidRPr="001944A4" w:rsidRDefault="00F00499" w:rsidP="00DB19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Принятие решения Наблюдательным советом </w:t>
      </w:r>
      <w:r w:rsidR="004C5DA5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онда </w:t>
      </w:r>
      <w:r w:rsidR="006D04B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об аккредитации Банка в качестве Банка-партнера.</w:t>
      </w:r>
    </w:p>
    <w:p w14:paraId="3E1431AA" w14:textId="6E521A79" w:rsidR="000E0FD7" w:rsidRPr="001944A4" w:rsidRDefault="00F00499" w:rsidP="00DB19D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164E23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Банка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отклоняется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признания 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Банка 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несоответствующ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</w:t>
      </w:r>
      <w:r w:rsidR="00F03C49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предоставления неполного перечня документов</w:t>
      </w:r>
      <w:r w:rsidR="000E0FD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C20D91" w14:textId="3DADF8A2" w:rsidR="000E0FD7" w:rsidRPr="001944A4" w:rsidRDefault="00F00499" w:rsidP="00DB1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E0FD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Подписание соглашения о порядке сотрудничества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0FD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директором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0E0FD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онда на основании 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положительного решения</w:t>
      </w:r>
      <w:r w:rsidR="000E0FD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Наблюдательн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0E0FD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0FD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8F401A" w14:textId="77777777" w:rsidR="00164E23" w:rsidRPr="001944A4" w:rsidRDefault="00164E23" w:rsidP="00D2287B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B09C6" w14:textId="77777777" w:rsidR="00D2287B" w:rsidRPr="001944A4" w:rsidRDefault="00D2287B" w:rsidP="00D2287B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Порядок проведения квалификационного отбора Обслуживающих банков</w:t>
      </w:r>
    </w:p>
    <w:p w14:paraId="54F8CAE2" w14:textId="77777777" w:rsidR="00D2287B" w:rsidRPr="001944A4" w:rsidRDefault="00D2287B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6.1. Процедура подготовки к проведению квалификационного отбора включает в себя несколько этапов:</w:t>
      </w:r>
    </w:p>
    <w:p w14:paraId="678C1C69" w14:textId="0C891206" w:rsidR="00D2287B" w:rsidRPr="001944A4" w:rsidRDefault="00C61DB4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.1.1. Формирование Фондом требований к Банкам для принятия решения о размещени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 свободных денежных средств Фонда. Требования формируются на основании норм</w:t>
      </w:r>
      <w:r w:rsidR="00F81562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Министерством экономического развития Российской Федерации, регламентирующих деятельность гарантийных организаций и решений АО «Корпорация МСП».</w:t>
      </w:r>
    </w:p>
    <w:p w14:paraId="052ADFF5" w14:textId="15070FCB" w:rsidR="00D2287B" w:rsidRPr="001944A4" w:rsidRDefault="00C61DB4" w:rsidP="00DB19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.1.2. Принятие решения Наблюдательным советом Фонда о проведении квалификационного обора Банков, в том числе определение сроков проведения квалификационного отбора, способа размещения информации о проведении квалификационного отбора, утверждение </w:t>
      </w:r>
      <w:r w:rsidR="00D2287B" w:rsidRPr="0019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перечня и порядка предоставления документации для участия в квалификационном отборе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 к Банкам, состава квалификационной комиссии.</w:t>
      </w:r>
    </w:p>
    <w:p w14:paraId="58DE7E7D" w14:textId="3101CBA4" w:rsidR="00D2287B" w:rsidRPr="001944A4" w:rsidRDefault="00C61DB4" w:rsidP="00DB19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.1.3. Извещение о проведении квалификационного отбора публикуется не позднее, чем за 30 (тридцать) календарных дней до его проведения в средствах массовой информации и на официальном сайте Фонда.</w:t>
      </w:r>
    </w:p>
    <w:p w14:paraId="6AA75BFF" w14:textId="77777777" w:rsidR="00D2287B" w:rsidRPr="001944A4" w:rsidRDefault="00C61DB4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.2. Процедура проведения квалификационного отбора включает в себя следующее:</w:t>
      </w:r>
    </w:p>
    <w:p w14:paraId="318136A1" w14:textId="5B17B262" w:rsidR="00D2287B" w:rsidRPr="001944A4" w:rsidRDefault="00C61DB4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.2.1.</w:t>
      </w:r>
      <w:r w:rsidR="0031024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квалификационном отборе Банки должны своевременно подготовить и подать Заявки на участие. Фонд имеет право отказаться от всех заявок на участие в квалификационном отборе по любой причине или прекратить процедуру проведения квалификационного отбора в любой момент, не неся при этом никакой ответственности перед Банками.</w:t>
      </w:r>
    </w:p>
    <w:p w14:paraId="45199508" w14:textId="6A1799DB" w:rsidR="00D2287B" w:rsidRPr="001944A4" w:rsidRDefault="00C61DB4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.2.2</w:t>
      </w:r>
      <w:r w:rsidR="0031024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Банки должны отвечать требованиям, установленным Наблюдательным советом Фонда и должны представить соответствующие документальные подтверждения соответствия этим требованиям.</w:t>
      </w:r>
    </w:p>
    <w:p w14:paraId="017725E2" w14:textId="092B6FBE" w:rsidR="00D2287B" w:rsidRPr="001944A4" w:rsidRDefault="00C61DB4" w:rsidP="00DB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.2.3. От каждого Банка допускается только одна заявка. В случае если Банк подает более одной заявки, все заявки с его участием отклоняются, независимо от характера проведения и результатов квалификационного отбора.</w:t>
      </w:r>
    </w:p>
    <w:p w14:paraId="52F4F7A3" w14:textId="51449FD1" w:rsidR="00D2287B" w:rsidRPr="001944A4" w:rsidRDefault="00C61DB4" w:rsidP="00DB19D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.2.4. Заседание квалификационной комиссии, вскрытие поданных участниками заявок, проверка их на соответствие перечню и порядку предоставления документации осуществляется в присутствии представителей Банков (в случае их волеизъявления на такое присутствие), членов квалификационной комиссии и сотрудников Фонда. По результатам вскрытия конвертов с заявками Фондом составляется соответствующий протокол.</w:t>
      </w:r>
    </w:p>
    <w:p w14:paraId="1ACD0C53" w14:textId="28FF4D61" w:rsidR="00D2287B" w:rsidRPr="001944A4" w:rsidRDefault="00C61DB4" w:rsidP="00DB19D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.2.5. Рассмотрение заявок осуществляется на основании требований к участникам квалификационного отбора для принятия решения о размещени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 свободных денежных средств Фонда. Квалификационная комиссия вправе отклонить заявку Банка, в случае признания ее несоответствующей установленным требованиям.</w:t>
      </w:r>
    </w:p>
    <w:p w14:paraId="3EFF8756" w14:textId="0668E4E6" w:rsidR="009E44A9" w:rsidRPr="001944A4" w:rsidRDefault="00C61DB4" w:rsidP="00DB19DF">
      <w:pPr>
        <w:pStyle w:val="af1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  <w:lang w:eastAsia="ru-RU"/>
        </w:rPr>
        <w:lastRenderedPageBreak/>
        <w:t>6</w:t>
      </w:r>
      <w:r w:rsidR="00D2287B" w:rsidRPr="001944A4">
        <w:rPr>
          <w:color w:val="000000" w:themeColor="text1"/>
          <w:sz w:val="28"/>
          <w:szCs w:val="28"/>
          <w:lang w:eastAsia="ru-RU"/>
        </w:rPr>
        <w:t xml:space="preserve">.2.6. </w:t>
      </w:r>
      <w:bookmarkStart w:id="10" w:name="_Hlk514339782"/>
      <w:r w:rsidR="009E44A9"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</w:t>
      </w:r>
      <w:r w:rsidR="00310247" w:rsidRPr="001944A4">
        <w:rPr>
          <w:color w:val="000000" w:themeColor="text1"/>
          <w:sz w:val="28"/>
          <w:szCs w:val="28"/>
        </w:rPr>
        <w:t>ях</w:t>
      </w:r>
      <w:r w:rsidR="009E44A9" w:rsidRPr="001944A4">
        <w:rPr>
          <w:color w:val="000000" w:themeColor="text1"/>
          <w:sz w:val="28"/>
          <w:szCs w:val="28"/>
        </w:rPr>
        <w:t>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4"/>
        <w:gridCol w:w="1203"/>
        <w:gridCol w:w="1098"/>
      </w:tblGrid>
      <w:tr w:rsidR="001930B4" w:rsidRPr="001944A4" w14:paraId="7A20044F" w14:textId="77777777" w:rsidTr="00B21913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0A61D55B" w14:textId="77777777" w:rsidR="00DF2D7C" w:rsidRPr="001944A4" w:rsidRDefault="00DF2D7C" w:rsidP="00B21913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bookmarkStart w:id="11" w:name="_Hlk43220417"/>
            <w:bookmarkEnd w:id="10"/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642B223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27B8DDC1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1930B4" w:rsidRPr="001944A4" w14:paraId="45CD3981" w14:textId="77777777" w:rsidTr="00B21913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39524AAD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507B1FB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343A993" w14:textId="25F87B3F" w:rsidR="00DF2D7C" w:rsidRPr="001944A4" w:rsidRDefault="00094966" w:rsidP="00B2191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  <w:r w:rsidR="00DF2D7C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04217476" w14:textId="77777777" w:rsidTr="00B21913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23E02E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45C2825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E7CC86B" w14:textId="46D7E0C1" w:rsidR="00DF2D7C" w:rsidRPr="001944A4" w:rsidRDefault="00094966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  <w:r w:rsidR="00DF2D7C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0FABEAC5" w14:textId="77777777" w:rsidTr="00B21913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127D8034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3ABFA3E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7AC14EF" w14:textId="4C8932AA" w:rsidR="00DF2D7C" w:rsidRPr="001944A4" w:rsidRDefault="00094966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</w:t>
            </w:r>
            <w:r w:rsidR="00DF2D7C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5A4CCE4C" w14:textId="77777777" w:rsidTr="00B21913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515A4827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F8EF00A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799B6A60" w14:textId="5A9C2A61" w:rsidR="00DF2D7C" w:rsidRPr="001944A4" w:rsidRDefault="00094966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</w:t>
            </w:r>
            <w:r w:rsidR="00DF2D7C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7A12F00D" w14:textId="77777777" w:rsidTr="00B21913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F932954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A54EAF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FC8813D" w14:textId="4B53966D" w:rsidR="00DF2D7C" w:rsidRPr="001944A4" w:rsidRDefault="00094966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DF2D7C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74A8EA46" w14:textId="77777777" w:rsidTr="00B21913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3901C55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A9BBB3B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36A6B74" w14:textId="7E62FFDD" w:rsidR="00DF2D7C" w:rsidRPr="001944A4" w:rsidRDefault="00094966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1930B4" w:rsidRPr="001944A4" w14:paraId="78BB7CC4" w14:textId="77777777" w:rsidTr="00B21913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0F3074EC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1022E04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5BAC36B4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1930B4" w:rsidRPr="001944A4" w14:paraId="658C0BD7" w14:textId="77777777" w:rsidTr="00B21913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4BAE6230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BF9B65B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5D5C8FB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3B1DAE23" w14:textId="77777777" w:rsidTr="00B21913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48AF1BF5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0D07294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7C852CF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242939B8" w14:textId="77777777" w:rsidTr="00B21913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7CAE38F9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2CC9481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D69F001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1930B4" w:rsidRPr="001944A4" w14:paraId="5664C1FC" w14:textId="77777777" w:rsidTr="00B21913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6925EE8C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F3D5F9A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089829F" w14:textId="65603505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4966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72C0E60E" w14:textId="77777777" w:rsidTr="00B21913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7272D189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9DD71AD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5ECBE4" w14:textId="1F93C3E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4966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0891EAD8" w14:textId="77777777" w:rsidTr="00B21913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6D46AD94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7E08C4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D2326BD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1930B4" w:rsidRPr="001944A4" w14:paraId="580F20F1" w14:textId="77777777" w:rsidTr="00B21913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15BD" w14:textId="77777777" w:rsidR="00DF2D7C" w:rsidRPr="001944A4" w:rsidRDefault="00DF2D7C" w:rsidP="00B21913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C68E195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EA2D696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1930B4" w:rsidRPr="001944A4" w14:paraId="0EA68620" w14:textId="77777777" w:rsidTr="00B21913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76F9F55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70405B4A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FFB16CC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1930B4" w:rsidRPr="001944A4" w14:paraId="4A3A361B" w14:textId="77777777" w:rsidTr="00B21913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5743066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75718A6D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1FD85B7B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1930B4" w:rsidRPr="001944A4" w14:paraId="6AB576AC" w14:textId="77777777" w:rsidTr="00B21913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363A7B08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C8EB7D8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A2FE6CA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1930B4" w:rsidRPr="001944A4" w14:paraId="1994349C" w14:textId="77777777" w:rsidTr="00B21913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4E969387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1A6833B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6C051219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1930B4" w:rsidRPr="001944A4" w14:paraId="2B4CDFE2" w14:textId="77777777" w:rsidTr="00B21913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5B2F67F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DA75E53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38DA571E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1930B4" w:rsidRPr="001944A4" w14:paraId="21D96638" w14:textId="77777777" w:rsidTr="00B21913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3F35AD9B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951D83F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23E1A08F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1930B4" w:rsidRPr="001944A4" w14:paraId="7EA2A5DC" w14:textId="77777777" w:rsidTr="00B21913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24C6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1167CC6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BD7E4A" w14:textId="77777777" w:rsidR="00DF2D7C" w:rsidRPr="001944A4" w:rsidRDefault="00DF2D7C" w:rsidP="00B2191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DF2D7C" w:rsidRPr="001944A4" w14:paraId="4E86B776" w14:textId="77777777" w:rsidTr="00B2191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C1E5FA" w14:textId="77777777" w:rsidR="00DF2D7C" w:rsidRPr="001944A4" w:rsidRDefault="00DF2D7C" w:rsidP="00B21913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69A087CD" w14:textId="77777777" w:rsidR="00DF2D7C" w:rsidRPr="001944A4" w:rsidRDefault="00DF2D7C" w:rsidP="00B21913">
            <w:pPr>
              <w:pStyle w:val="a3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  <w:bookmarkEnd w:id="11"/>
    </w:tbl>
    <w:p w14:paraId="0733D192" w14:textId="77777777" w:rsidR="009E44A9" w:rsidRPr="001944A4" w:rsidRDefault="009E44A9" w:rsidP="009E44A9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FB723A" w14:textId="77777777" w:rsidR="009E44A9" w:rsidRPr="001944A4" w:rsidRDefault="009E44A9" w:rsidP="00DB19DF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/>
          <w:color w:val="000000" w:themeColor="text1"/>
          <w:sz w:val="28"/>
          <w:szCs w:val="28"/>
        </w:rPr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14:paraId="6E5A1101" w14:textId="77777777" w:rsidR="009E44A9" w:rsidRPr="001944A4" w:rsidRDefault="009E44A9" w:rsidP="00DB19DF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несколько заявок на участие в конкурсе наберут равное количество баллов, то побеждает участник, предложивший наивысшую </w:t>
      </w:r>
      <w:r w:rsidRPr="001944A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процентную ставку.</w:t>
      </w:r>
    </w:p>
    <w:p w14:paraId="104B4FD3" w14:textId="71A3312B" w:rsidR="009E44A9" w:rsidRPr="001944A4" w:rsidRDefault="009E44A9" w:rsidP="00DB1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6.2.7. Рассмотрение заявок Банков осуществляется квалификационной комиссией с последующей аккредитацией кредитных организаций в качестве обслуживающих банков, ранжированием Банков по местам в зависимости от набранных баллов, определением количества мест победителей </w:t>
      </w:r>
      <w:r w:rsidR="00CE68F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последующ</w:t>
      </w:r>
      <w:r w:rsidR="00CE68F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распределением временно свободных денежных средств</w:t>
      </w:r>
      <w:r w:rsidR="00CE68F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составлением протокола по итогам процедуры рассмотрения заявок участников квалификационного отбора.</w:t>
      </w:r>
    </w:p>
    <w:p w14:paraId="0F27F71A" w14:textId="1D1567B4" w:rsidR="00D2287B" w:rsidRPr="001944A4" w:rsidRDefault="00C61DB4" w:rsidP="00DB1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6A0041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Утверждение решения квалификационной комиссии осуществляется на заседании Наблюдательного совета Фонда.</w:t>
      </w:r>
    </w:p>
    <w:p w14:paraId="0B3F6AED" w14:textId="6E89808A" w:rsidR="00D2287B" w:rsidRPr="001944A4" w:rsidRDefault="00C61DB4" w:rsidP="00DB1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6A0041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Подписание договоров на размещение</w:t>
      </w:r>
      <w:r w:rsidR="00D2287B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 свободных денежных средств</w:t>
      </w:r>
      <w:r w:rsidR="00D2287B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директором Фонда на основании утвержденных Наблюдательным советом результатов проведения квалификационного отбора.</w:t>
      </w:r>
    </w:p>
    <w:p w14:paraId="6307A99A" w14:textId="2BB1F658" w:rsidR="001E589E" w:rsidRPr="001944A4" w:rsidRDefault="00C61DB4" w:rsidP="003E7F0A">
      <w:pPr>
        <w:keepNext/>
        <w:spacing w:before="240" w:after="1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7</w:t>
      </w:r>
      <w:r w:rsidR="00AD35C4" w:rsidRPr="0019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. Мониторинг, приостановка/возобновление сотрудничества и деаккредитация Банков-партнеров и Обслуживающих банков</w:t>
      </w:r>
    </w:p>
    <w:p w14:paraId="502E0CA7" w14:textId="1C9E178B" w:rsidR="009B04A2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.1. С целью регулярной проверки соответствия Банков, аккредитованных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ондом в качестве Банков-партнеров и Обслуживающих банков, критериям аккредитации,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 проводит мониторинг Банков-партнеров и Обслуживающих б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анков. </w:t>
      </w:r>
    </w:p>
    <w:p w14:paraId="11A832C5" w14:textId="77777777" w:rsidR="009B04A2" w:rsidRPr="001944A4" w:rsidRDefault="00C61DB4" w:rsidP="00DB19D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.2.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8440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онд 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проводит процедуры мониторинга, </w:t>
      </w:r>
      <w:r w:rsidR="008440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приостановления/возобновления сотрудничества и деаккредитации для Банков, аккредитованных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8440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ондом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7CB069B5" w14:textId="1CDA3C6B" w:rsidR="00DB7FC9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.3.</w:t>
      </w:r>
      <w:r w:rsidR="008440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 ежеквартально проводит мониторинг</w:t>
      </w:r>
      <w:r w:rsidR="009B04A2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Банков-партнеров и Обслуживающих банков </w:t>
      </w:r>
      <w:r w:rsidR="008440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соответствие критериям, установленным р</w:t>
      </w:r>
      <w:r w:rsidR="009F22C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азделами 2,</w:t>
      </w:r>
      <w:r w:rsidR="00BF2230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F22C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 настоящего Порядка по показателям согласно Приложению №1,</w:t>
      </w:r>
      <w:r w:rsidR="00BF2230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F22C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</w:t>
      </w:r>
    </w:p>
    <w:p w14:paraId="16D44329" w14:textId="466C891E" w:rsidR="00AD35C4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83B4F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3.1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 По результатам мониторинга </w:t>
      </w:r>
      <w:r w:rsidR="004C5DA5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8440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формиру</w:t>
      </w:r>
      <w:r w:rsidR="0010721A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 отчет по мониторингу. В случае выявления в ходе мониторинга несоответствия Банка-партнера или Обслуживающего банка критериям аккредитации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отчете по мониторингу 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указываются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рекомендации 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приостановлению сотрудничества, деаккредитации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таким Банком-партнером или </w:t>
      </w:r>
      <w:r w:rsidR="007D1D7D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 деаккредитации 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Обслуживающ</w:t>
      </w:r>
      <w:r w:rsidR="007D1D7D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его банка</w:t>
      </w:r>
      <w:r w:rsidR="00AD35C4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9B04A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Окончательное решение 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относительно перспектив дальнейшего сотрудничества с таким Банком-партнером или Обслуживающим банком принимает Наблюдательный совет </w:t>
      </w:r>
      <w:r w:rsidR="008A60D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онда.</w:t>
      </w:r>
    </w:p>
    <w:p w14:paraId="41B94564" w14:textId="11F466FB" w:rsidR="00B83B4F" w:rsidRPr="001944A4" w:rsidRDefault="00B83B4F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7.4. В рамках работы по Механизму 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на ежеквартальной основе осуществляет мониторинг портфеля действующих поручительств Фонда, сформированного с применением Механизма, в части соблюдения требований по Целевой структуре рейтингов соответствующего </w:t>
      </w:r>
      <w:proofErr w:type="spellStart"/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Подсегмента</w:t>
      </w:r>
      <w:proofErr w:type="spellEnd"/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такое требование было установлено решением АО «Корпорация «МСП» о допуске Банка-партнера к Механизму (путем соотнесения на дату мониторинга сумм действующих Поручительств по определенным рейтингам или группам рейтингов к общему объему портфеля поручительств). По результатам мониторинга 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формирует отчет по мониторингу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BA7ECEF" w14:textId="77777777" w:rsidR="00B83B4F" w:rsidRPr="001944A4" w:rsidRDefault="00B83B4F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выявления нарушения требований по Целевой структуре рейтингов Фонда уведомляет Банк-партнер и АО «Корпорация «МСП» в срок не позднее 3 (трех) рабочих дней с момента выявления нарушения. </w:t>
      </w:r>
    </w:p>
    <w:p w14:paraId="74398455" w14:textId="77777777" w:rsidR="00B83B4F" w:rsidRPr="001944A4" w:rsidRDefault="00B83B4F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несоблюдения требований Целевой структуры рейтингов со стороны Банка-партнера более трех кварталов подряд Фонд вправе приостановить взаимодействие с данным Банком-партнером по Механизму, уведомив о принятом решении Банк-партнер и АО «Корпорация «МСП» в срок не позднее 3 (трех) рабочих дней с момента принятия такого решения. </w:t>
      </w:r>
    </w:p>
    <w:p w14:paraId="5D96A64A" w14:textId="17933EA7" w:rsidR="00B83B4F" w:rsidRPr="001944A4" w:rsidRDefault="00B83B4F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7.4.2. В целях проведения ежеквартального мониторинга качества портфеля поручительств Фонда рассчитывает Фактический показатель </w:t>
      </w:r>
      <w:proofErr w:type="spellStart"/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дефолтности</w:t>
      </w:r>
      <w:proofErr w:type="spellEnd"/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выданным поручительствам в рамках Механизма. По результатам мониторинга </w:t>
      </w: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формирует отчет по мониторингу</w:t>
      </w: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77656FF" w14:textId="77777777" w:rsidR="00B83B4F" w:rsidRPr="001944A4" w:rsidRDefault="00B83B4F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превышения Фактического показателя </w:t>
      </w:r>
      <w:proofErr w:type="spellStart"/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дефолтности</w:t>
      </w:r>
      <w:proofErr w:type="spellEnd"/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Максимальным уровнем </w:t>
      </w:r>
      <w:proofErr w:type="spellStart"/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>дефолтности</w:t>
      </w:r>
      <w:proofErr w:type="spellEnd"/>
      <w:r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уведомляет АО «Корпорация «МСП» и Банк-партнер в срок не позднее 3 (трех) рабочих дней с момента выявления такого превышения в целях принятия совместной стратегии по взаимодействию, включая изменение параметров доступа Банка-партнера к Механизму (при необходимости).</w:t>
      </w:r>
    </w:p>
    <w:p w14:paraId="68213FDA" w14:textId="77777777" w:rsidR="00BF7023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.5. Относительно Банков-партнеров:</w:t>
      </w:r>
      <w:r w:rsidR="00BF702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62CEA846" w14:textId="77777777" w:rsidR="00662A6A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.5.1. В случае принятия решения о приостановке сотрудничества </w:t>
      </w:r>
      <w:r w:rsidR="008A60D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BF702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онд 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формирует список условий, которые должен выполнить Банк-партнер для</w:t>
      </w:r>
      <w:r w:rsidR="00F9053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возобновления сотрудничества,</w:t>
      </w:r>
      <w:r w:rsidR="003F0D5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9053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уведомляет об этом Банк-партнер</w:t>
      </w:r>
      <w:r w:rsidR="00662A6A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0F3FE16A" w14:textId="77777777" w:rsidR="00BF7023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BF702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.5.2. Банк-партнер, с которым было приостановлено сотрудничество по результатам мониторинга, может подать в </w:t>
      </w:r>
      <w:r w:rsidR="008A60D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BF702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онд заявление о возобновлении сотрудничества на основании подтверждения выполнения условий, выдвинутых </w:t>
      </w:r>
      <w:r w:rsidR="008A60D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BF702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ондом при приостановке сотрудничества с Банком-партнером.</w:t>
      </w:r>
    </w:p>
    <w:p w14:paraId="20B74D11" w14:textId="77777777" w:rsidR="00BF7023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584A8A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.5.3</w:t>
      </w:r>
      <w:r w:rsidR="00BF702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По результатам рассмотрения заявления Наблюдательный совет </w:t>
      </w:r>
      <w:r w:rsidR="008A60D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BF7023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онда принимает решение о возможности возобновления сотрудничества с Банком-партнером или его деаккредитации.</w:t>
      </w:r>
    </w:p>
    <w:p w14:paraId="33144970" w14:textId="77777777" w:rsidR="00B95D1F" w:rsidRPr="001944A4" w:rsidRDefault="00C61DB4" w:rsidP="00DB19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B95D1F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.6. Относительно Обслуживающих банков:</w:t>
      </w:r>
    </w:p>
    <w:p w14:paraId="2C52135F" w14:textId="77777777" w:rsidR="00B95D1F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B95D1F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.6.1.</w:t>
      </w:r>
      <w:r w:rsidR="00CF42A7" w:rsidRPr="0019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2A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Наблюдательный совет </w:t>
      </w:r>
      <w:r w:rsidR="008A60D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CF42A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онда рассматривает отчет по мониторингу и прин</w:t>
      </w:r>
      <w:r w:rsidR="00F90532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="00CF42A7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мает решение о продолжении сотрудничества либо о деаккредитации Обслуживающего банка.</w:t>
      </w:r>
    </w:p>
    <w:p w14:paraId="63BDFA80" w14:textId="6BA5A872" w:rsidR="00A54A40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AC57F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.6.2. В случае принятия решения о деаккредитации Обслуживающего банка </w:t>
      </w:r>
      <w:r w:rsidR="008A60D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</w:t>
      </w:r>
      <w:r w:rsidR="00AC57F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онд </w:t>
      </w:r>
      <w:r w:rsidR="00A54A40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принимает меры к расторжению договора </w:t>
      </w:r>
      <w:r w:rsidR="00885C08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 </w:t>
      </w:r>
      <w:r w:rsidR="00A54A40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размещени</w:t>
      </w:r>
      <w:r w:rsidR="00885C08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ю</w:t>
      </w:r>
      <w:r w:rsidR="00A54A40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временно свободных денежных средств </w:t>
      </w:r>
      <w:r w:rsidR="00885C08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 </w:t>
      </w:r>
      <w:r w:rsidR="00AC57F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уведомляет об этом всех </w:t>
      </w:r>
      <w:r w:rsidR="00AC57F6" w:rsidRPr="001944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Участников НГС </w:t>
      </w:r>
      <w:r w:rsidR="00AC57F6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 Обслуживающий банк</w:t>
      </w:r>
      <w:r w:rsidR="00A94A7C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0A3FFC49" w14:textId="77777777" w:rsidR="00EA0C30" w:rsidRPr="001944A4" w:rsidRDefault="00C61DB4" w:rsidP="00DB19DF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3E7F0A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.6.3. </w:t>
      </w:r>
      <w:r w:rsidR="00EA0C30" w:rsidRPr="00194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Указанное уведомление носит информативный характер и не влечет за собой обязательной деаккредитации Обслуживающего банка со стороны других Участников НГС.</w:t>
      </w:r>
    </w:p>
    <w:p w14:paraId="53BE32B1" w14:textId="4D3C1DD7" w:rsidR="00EA0C30" w:rsidRPr="001944A4" w:rsidRDefault="00EA0C30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14:paraId="3B2B00A5" w14:textId="5436984A" w:rsidR="0070151B" w:rsidRDefault="0070151B" w:rsidP="009D1E18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14:paraId="4D7D26FF" w14:textId="554DF5DA" w:rsidR="00765882" w:rsidRDefault="00765882" w:rsidP="009D1E18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14:paraId="2ADD97A5" w14:textId="77777777" w:rsidR="00765882" w:rsidRDefault="00765882" w:rsidP="009D1E18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14:paraId="40EA3FDF" w14:textId="77777777" w:rsidR="0070151B" w:rsidRDefault="0070151B" w:rsidP="009D1E18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14:paraId="6C02593E" w14:textId="7BC49DE4" w:rsidR="00251953" w:rsidRPr="001944A4" w:rsidRDefault="009D1E18" w:rsidP="009D1E18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1944A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lastRenderedPageBreak/>
        <w:t>Приложение №1</w:t>
      </w:r>
    </w:p>
    <w:p w14:paraId="2CF0AC30" w14:textId="77777777" w:rsidR="00251953" w:rsidRPr="001944A4" w:rsidRDefault="00251953" w:rsidP="009E73A9">
      <w:pPr>
        <w:tabs>
          <w:tab w:val="left" w:pos="2235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1944A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Мониторинг Банков – партнеров</w:t>
      </w:r>
    </w:p>
    <w:p w14:paraId="3484BC88" w14:textId="352E0E12" w:rsidR="006408BF" w:rsidRPr="001944A4" w:rsidRDefault="006408BF" w:rsidP="006408BF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1930B4" w:rsidRPr="001944A4" w14:paraId="2363C198" w14:textId="77777777" w:rsidTr="006408BF">
        <w:tc>
          <w:tcPr>
            <w:tcW w:w="7338" w:type="dxa"/>
          </w:tcPr>
          <w:p w14:paraId="63416C58" w14:textId="77777777" w:rsidR="00983542" w:rsidRPr="001944A4" w:rsidRDefault="00983542" w:rsidP="00251953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Показатели</w:t>
            </w:r>
          </w:p>
        </w:tc>
        <w:tc>
          <w:tcPr>
            <w:tcW w:w="2268" w:type="dxa"/>
          </w:tcPr>
          <w:p w14:paraId="5FE65BFC" w14:textId="77777777" w:rsidR="00983542" w:rsidRPr="001944A4" w:rsidRDefault="006408BF" w:rsidP="00ED1B89">
            <w:pPr>
              <w:tabs>
                <w:tab w:val="left" w:pos="870"/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Да/Н</w:t>
            </w:r>
            <w:r w:rsidR="00983542" w:rsidRPr="001944A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ет</w:t>
            </w:r>
          </w:p>
        </w:tc>
      </w:tr>
      <w:tr w:rsidR="001930B4" w:rsidRPr="001944A4" w14:paraId="78BDF5F2" w14:textId="77777777" w:rsidTr="006408BF">
        <w:trPr>
          <w:trHeight w:val="375"/>
        </w:trPr>
        <w:tc>
          <w:tcPr>
            <w:tcW w:w="7338" w:type="dxa"/>
          </w:tcPr>
          <w:p w14:paraId="2A100CAA" w14:textId="6D36BEB6" w:rsidR="00AE7ED2" w:rsidRPr="001944A4" w:rsidRDefault="00983542" w:rsidP="004F41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Наличие лицензи</w:t>
            </w:r>
            <w:r w:rsidR="006408BF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и</w:t>
            </w: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Ц</w:t>
            </w:r>
            <w:r w:rsidR="00000AF4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ентрального </w:t>
            </w: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Б</w:t>
            </w:r>
            <w:r w:rsidR="00000AF4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анка </w:t>
            </w: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Р</w:t>
            </w:r>
            <w:r w:rsidR="00000AF4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оссийской </w:t>
            </w: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Ф</w:t>
            </w:r>
            <w:r w:rsidR="00000AF4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едерации</w:t>
            </w:r>
            <w:r w:rsidR="004F419B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на осуществление банковских операций</w:t>
            </w:r>
          </w:p>
        </w:tc>
        <w:tc>
          <w:tcPr>
            <w:tcW w:w="2268" w:type="dxa"/>
          </w:tcPr>
          <w:p w14:paraId="44C29AEB" w14:textId="77777777" w:rsidR="00983542" w:rsidRPr="001944A4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44A4" w14:paraId="0A26E7A4" w14:textId="77777777" w:rsidTr="006408BF">
        <w:trPr>
          <w:trHeight w:val="776"/>
        </w:trPr>
        <w:tc>
          <w:tcPr>
            <w:tcW w:w="7338" w:type="dxa"/>
          </w:tcPr>
          <w:p w14:paraId="3C43ADED" w14:textId="3EB448A8" w:rsidR="00B75EB9" w:rsidRPr="001944A4" w:rsidRDefault="00B75EB9" w:rsidP="0098354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наличие положительного аудиторского заключения по бухгалтерской (финансовой) отчетности кредитной организации, составленной в соответствии с международными стандартами финансовой отчетности (МСФО), </w:t>
            </w:r>
            <w:r w:rsidRPr="001944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за </w:t>
            </w:r>
            <w:r w:rsidR="00C132ED" w:rsidRPr="001944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прошедший год</w:t>
            </w:r>
            <w:r w:rsidR="00C132ED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по кредитной организации или банковской группе при вхождении кредитной организации в банковскую группу. В случае если требования законодательства Российской Федерации не обязывают кредитную организацию формировать бухгалтерскую (финансовую) отчетность в соответствии с МСФО, требование о наличии положительного аудиторского заключения относится к бухгалтерской (финансовой) отчетности, составленной в соответствии с российскими стандартами бухгалтерского учета (РСБУ)</w:t>
            </w:r>
          </w:p>
          <w:p w14:paraId="2A91372E" w14:textId="21079DF6" w:rsidR="00B75EB9" w:rsidRPr="001944A4" w:rsidRDefault="00B75EB9" w:rsidP="0098354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</w:tcPr>
          <w:p w14:paraId="1FFEB9B4" w14:textId="77777777" w:rsidR="00983542" w:rsidRPr="001944A4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44A4" w14:paraId="7953348C" w14:textId="77777777" w:rsidTr="006408BF">
        <w:trPr>
          <w:trHeight w:val="1093"/>
        </w:trPr>
        <w:tc>
          <w:tcPr>
            <w:tcW w:w="7338" w:type="dxa"/>
          </w:tcPr>
          <w:p w14:paraId="1191295E" w14:textId="10EA4AAC" w:rsidR="00983542" w:rsidRPr="001944A4" w:rsidRDefault="00983542" w:rsidP="00ED1B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Отсутствие примененных ЦБРФ в отношении Банка санкций, в виде приостановления действия лицензии на осуществление отдельных банковских операций</w:t>
            </w:r>
            <w:r w:rsidR="00B75EB9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</w:t>
            </w:r>
          </w:p>
        </w:tc>
        <w:tc>
          <w:tcPr>
            <w:tcW w:w="2268" w:type="dxa"/>
          </w:tcPr>
          <w:p w14:paraId="08ECA3C3" w14:textId="77777777" w:rsidR="00983542" w:rsidRPr="001944A4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44A4" w14:paraId="06B742D3" w14:textId="77777777" w:rsidTr="006408BF">
        <w:trPr>
          <w:trHeight w:val="732"/>
        </w:trPr>
        <w:tc>
          <w:tcPr>
            <w:tcW w:w="7338" w:type="dxa"/>
          </w:tcPr>
          <w:p w14:paraId="0813CE5B" w14:textId="77777777" w:rsidR="00983542" w:rsidRPr="001944A4" w:rsidRDefault="00983542" w:rsidP="00ED1B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Наличие опыта работы по кредитованию Субъектов МСП не менее 6 (шести) месяцев </w:t>
            </w:r>
          </w:p>
        </w:tc>
        <w:tc>
          <w:tcPr>
            <w:tcW w:w="2268" w:type="dxa"/>
          </w:tcPr>
          <w:p w14:paraId="7AE03752" w14:textId="77777777" w:rsidR="00983542" w:rsidRPr="001944A4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44A4" w14:paraId="67E9C276" w14:textId="77777777" w:rsidTr="006408BF">
        <w:trPr>
          <w:trHeight w:val="732"/>
        </w:trPr>
        <w:tc>
          <w:tcPr>
            <w:tcW w:w="7338" w:type="dxa"/>
          </w:tcPr>
          <w:p w14:paraId="3F8B39D9" w14:textId="77777777" w:rsidR="00983542" w:rsidRPr="001944A4" w:rsidRDefault="00983542" w:rsidP="00ED1B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Наличие сформированного портфеля кредитов и (или) банковских гарантий, предоставленных Субъектам МСП</w:t>
            </w:r>
          </w:p>
        </w:tc>
        <w:tc>
          <w:tcPr>
            <w:tcW w:w="2268" w:type="dxa"/>
          </w:tcPr>
          <w:p w14:paraId="5B36FF37" w14:textId="77777777" w:rsidR="00983542" w:rsidRPr="001944A4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44A4" w14:paraId="1B2FE663" w14:textId="77777777" w:rsidTr="006408BF">
        <w:trPr>
          <w:trHeight w:val="732"/>
        </w:trPr>
        <w:tc>
          <w:tcPr>
            <w:tcW w:w="7338" w:type="dxa"/>
          </w:tcPr>
          <w:p w14:paraId="0DD60EC6" w14:textId="0F82D755" w:rsidR="00983542" w:rsidRPr="001944A4" w:rsidRDefault="00983542" w:rsidP="00ED1B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Наличие специализированных технологий (программ) работы с Субъектами МСП</w:t>
            </w:r>
            <w:r w:rsidR="00B75EB9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,</w:t>
            </w:r>
            <w:r w:rsidR="00B75EB9" w:rsidRPr="001944A4">
              <w:t xml:space="preserve"> </w:t>
            </w:r>
            <w:r w:rsidR="00B75EB9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физическими лицами, применяющими специальный налоговый режим «Налог на профессиональный доход»</w:t>
            </w:r>
          </w:p>
        </w:tc>
        <w:tc>
          <w:tcPr>
            <w:tcW w:w="2268" w:type="dxa"/>
          </w:tcPr>
          <w:p w14:paraId="6801769A" w14:textId="77777777" w:rsidR="00983542" w:rsidRPr="001944A4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983542" w:rsidRPr="001930B4" w14:paraId="2ACF7682" w14:textId="77777777" w:rsidTr="006408BF">
        <w:trPr>
          <w:trHeight w:val="732"/>
        </w:trPr>
        <w:tc>
          <w:tcPr>
            <w:tcW w:w="7338" w:type="dxa"/>
          </w:tcPr>
          <w:p w14:paraId="17A621C9" w14:textId="3F8D2315" w:rsidR="00983542" w:rsidRPr="001930B4" w:rsidRDefault="00983542" w:rsidP="0098354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Наличие сведений, заверенных уполномоченным лицом Банка-партнера, подтверждающих наличие внутренней нормативной документации, утвержденной стратегии или отдельного раздела в стратегии</w:t>
            </w:r>
            <w:r w:rsidR="009D4D11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, регламентирующих порядок работы с субъектами МСП</w:t>
            </w:r>
            <w:r w:rsidR="00B75EB9" w:rsidRPr="001944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, физическими лицами, применяющими специальный налоговый режим «Налог на профессиональный доход»</w:t>
            </w:r>
          </w:p>
        </w:tc>
        <w:tc>
          <w:tcPr>
            <w:tcW w:w="2268" w:type="dxa"/>
          </w:tcPr>
          <w:p w14:paraId="5B6AC9E0" w14:textId="77777777" w:rsidR="00983542" w:rsidRPr="001930B4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</w:tbl>
    <w:p w14:paraId="740234C9" w14:textId="255427C1" w:rsidR="00251953" w:rsidRDefault="00251953" w:rsidP="00251953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14:paraId="2885DEF9" w14:textId="32C7B15A" w:rsidR="00C132ED" w:rsidRDefault="00C132ED" w:rsidP="00251953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14:paraId="31EB9AB2" w14:textId="369A5FB4" w:rsidR="00C132ED" w:rsidRDefault="00C132ED" w:rsidP="00251953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14:paraId="5B564957" w14:textId="18487D5A" w:rsidR="00C132ED" w:rsidRDefault="00C132ED" w:rsidP="00251953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14:paraId="1935B084" w14:textId="77777777" w:rsidR="00441E25" w:rsidRPr="001930B4" w:rsidRDefault="00441E25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1930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Приложение №</w:t>
      </w:r>
      <w:r w:rsidR="00ED1B89" w:rsidRPr="001930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2</w:t>
      </w:r>
    </w:p>
    <w:p w14:paraId="081A976D" w14:textId="77777777" w:rsidR="00441E25" w:rsidRPr="001930B4" w:rsidRDefault="00441E25" w:rsidP="00441E25">
      <w:pPr>
        <w:tabs>
          <w:tab w:val="left" w:pos="2235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1930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Мониторинг </w:t>
      </w:r>
      <w:r w:rsidR="00ED1B89" w:rsidRPr="001930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Обслуживающих </w:t>
      </w:r>
      <w:r w:rsidR="009D1E18" w:rsidRPr="001930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б</w:t>
      </w:r>
      <w:r w:rsidR="00ED1B89" w:rsidRPr="001930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анков</w:t>
      </w:r>
    </w:p>
    <w:p w14:paraId="7F2FF24E" w14:textId="75A0CEE5" w:rsidR="00441E25" w:rsidRPr="001930B4" w:rsidRDefault="00441E25" w:rsidP="00441E25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1930B4" w:rsidRPr="001930B4" w14:paraId="0E980E93" w14:textId="77777777" w:rsidTr="006408BF">
        <w:tc>
          <w:tcPr>
            <w:tcW w:w="7338" w:type="dxa"/>
          </w:tcPr>
          <w:p w14:paraId="6D6FA600" w14:textId="77777777" w:rsidR="006408BF" w:rsidRPr="001930B4" w:rsidRDefault="006408BF" w:rsidP="00B12F0C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930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Показатели</w:t>
            </w:r>
          </w:p>
        </w:tc>
        <w:tc>
          <w:tcPr>
            <w:tcW w:w="2268" w:type="dxa"/>
          </w:tcPr>
          <w:p w14:paraId="6F403E04" w14:textId="77777777" w:rsidR="006408BF" w:rsidRPr="001930B4" w:rsidRDefault="006408BF" w:rsidP="002D483A">
            <w:pPr>
              <w:tabs>
                <w:tab w:val="left" w:pos="870"/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930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Да/Нет</w:t>
            </w:r>
          </w:p>
        </w:tc>
      </w:tr>
      <w:tr w:rsidR="001930B4" w:rsidRPr="001930B4" w14:paraId="6454FEAA" w14:textId="77777777" w:rsidTr="006408BF">
        <w:trPr>
          <w:trHeight w:val="345"/>
        </w:trPr>
        <w:tc>
          <w:tcPr>
            <w:tcW w:w="7338" w:type="dxa"/>
          </w:tcPr>
          <w:p w14:paraId="4A490094" w14:textId="3FC6974A" w:rsidR="00AE7ED2" w:rsidRPr="001930B4" w:rsidRDefault="006408BF" w:rsidP="004F41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Наличие </w:t>
            </w:r>
            <w:r w:rsidR="004F419B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универсальной или базовой </w:t>
            </w: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лицензии Ц</w:t>
            </w:r>
            <w:r w:rsidR="004F419B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ентрального </w:t>
            </w: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Б</w:t>
            </w:r>
            <w:r w:rsidR="004F419B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анка </w:t>
            </w: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Р</w:t>
            </w:r>
            <w:r w:rsidR="004F419B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оссийской </w:t>
            </w: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Ф</w:t>
            </w:r>
            <w:r w:rsidR="004F419B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едерации</w:t>
            </w: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4F419B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на осуществление банковских операций</w:t>
            </w:r>
          </w:p>
        </w:tc>
        <w:tc>
          <w:tcPr>
            <w:tcW w:w="2268" w:type="dxa"/>
          </w:tcPr>
          <w:p w14:paraId="6DA815B0" w14:textId="77777777" w:rsidR="006408BF" w:rsidRPr="001930B4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30B4" w14:paraId="451CDE65" w14:textId="77777777" w:rsidTr="006408BF">
        <w:trPr>
          <w:trHeight w:val="585"/>
        </w:trPr>
        <w:tc>
          <w:tcPr>
            <w:tcW w:w="7338" w:type="dxa"/>
          </w:tcPr>
          <w:p w14:paraId="2BBAB82B" w14:textId="77454F9B" w:rsidR="006408BF" w:rsidRPr="00DB19DF" w:rsidRDefault="006408BF" w:rsidP="00640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B19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Наличие собственных средств (капитала) не менее 50 млрд. рублей</w:t>
            </w:r>
            <w:r w:rsidR="003A0AC4" w:rsidRPr="00DB19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по данным ЦБ РФ, публикуемым</w:t>
            </w:r>
            <w:r w:rsidR="003A0AC4" w:rsidRPr="00DB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официальном сайте </w:t>
            </w:r>
            <w:hyperlink r:id="rId9" w:tgtFrame="_blank" w:history="1">
              <w:r w:rsidR="003A0AC4" w:rsidRPr="00DB19DF">
                <w:rPr>
                  <w:rStyle w:val="a8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www.cbr.ru</w:t>
              </w:r>
            </w:hyperlink>
            <w:r w:rsidR="003A0AC4" w:rsidRPr="00DB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сети «Интернет» в соответствии со статьёй 57 Закона о Банке России</w:t>
            </w:r>
            <w:r w:rsidR="00DB19DF" w:rsidRPr="00DB19DF">
              <w:rPr>
                <w:rFonts w:ascii="Times New Roman" w:hAnsi="Times New Roman" w:cs="Times New Roman"/>
                <w:sz w:val="26"/>
                <w:szCs w:val="26"/>
              </w:rPr>
              <w:t xml:space="preserve"> или на основании информации, предоставленной кредитной организацией по запросу Фонда</w:t>
            </w:r>
          </w:p>
        </w:tc>
        <w:tc>
          <w:tcPr>
            <w:tcW w:w="2268" w:type="dxa"/>
          </w:tcPr>
          <w:p w14:paraId="35381F7D" w14:textId="77777777" w:rsidR="006408BF" w:rsidRPr="001930B4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30B4" w14:paraId="03E1258E" w14:textId="77777777" w:rsidTr="00AE7ED2">
        <w:trPr>
          <w:trHeight w:val="1608"/>
        </w:trPr>
        <w:tc>
          <w:tcPr>
            <w:tcW w:w="7338" w:type="dxa"/>
          </w:tcPr>
          <w:p w14:paraId="7F8C9650" w14:textId="65527AC0" w:rsidR="006408BF" w:rsidRPr="001930B4" w:rsidRDefault="006408BF" w:rsidP="00640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Рейтинг </w:t>
            </w:r>
            <w:r w:rsidR="003A0AC4" w:rsidRPr="001930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      </w:r>
            <w:proofErr w:type="spellStart"/>
            <w:r w:rsidR="003A0AC4" w:rsidRPr="001930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ruA</w:t>
            </w:r>
            <w:proofErr w:type="spellEnd"/>
            <w:r w:rsidR="003A0AC4" w:rsidRPr="001930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-»</w:t>
            </w:r>
          </w:p>
        </w:tc>
        <w:tc>
          <w:tcPr>
            <w:tcW w:w="2268" w:type="dxa"/>
          </w:tcPr>
          <w:p w14:paraId="4F6F8228" w14:textId="77777777" w:rsidR="006408BF" w:rsidRPr="001930B4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30B4" w14:paraId="248A0371" w14:textId="77777777" w:rsidTr="00AE7ED2">
        <w:trPr>
          <w:trHeight w:val="554"/>
        </w:trPr>
        <w:tc>
          <w:tcPr>
            <w:tcW w:w="7338" w:type="dxa"/>
          </w:tcPr>
          <w:p w14:paraId="6F6A7713" w14:textId="535F658E" w:rsidR="006408BF" w:rsidRPr="001930B4" w:rsidRDefault="006408BF" w:rsidP="00640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Отсутствие действующей меры воздействия, примененной ЦБРФ за нарушение обязательных нормативов</w:t>
            </w:r>
            <w:r w:rsidR="003A0AC4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, установленных в соответствии с Законом о Банке России</w:t>
            </w:r>
          </w:p>
        </w:tc>
        <w:tc>
          <w:tcPr>
            <w:tcW w:w="2268" w:type="dxa"/>
          </w:tcPr>
          <w:p w14:paraId="62670079" w14:textId="77777777" w:rsidR="006408BF" w:rsidRPr="001930B4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30B4" w14:paraId="43227B44" w14:textId="77777777" w:rsidTr="00AE7ED2">
        <w:trPr>
          <w:trHeight w:val="1938"/>
        </w:trPr>
        <w:tc>
          <w:tcPr>
            <w:tcW w:w="7338" w:type="dxa"/>
          </w:tcPr>
          <w:p w14:paraId="5DB2C597" w14:textId="0616E9DA" w:rsidR="006408BF" w:rsidRPr="001930B4" w:rsidRDefault="00AE7ED2" w:rsidP="00640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О</w:t>
            </w:r>
            <w:r w:rsidR="006408BF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тсутствие в течение последних 12 месяцев просроченных денежных обязательств по операциям с Банком России, в том числе по кредитам Банка России и процентам по ним, а также отсутствие у Банка просроченной задолженности по банковским депозитам, ранее размещенным в нем за счет средств </w:t>
            </w:r>
            <w:r w:rsidR="000E7D36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Фонда</w:t>
            </w:r>
          </w:p>
        </w:tc>
        <w:tc>
          <w:tcPr>
            <w:tcW w:w="2268" w:type="dxa"/>
          </w:tcPr>
          <w:p w14:paraId="2E530CE5" w14:textId="77777777" w:rsidR="006408BF" w:rsidRPr="001930B4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930B4" w:rsidRPr="001930B4" w14:paraId="4522EEEC" w14:textId="77777777" w:rsidTr="006408BF">
        <w:trPr>
          <w:trHeight w:val="615"/>
        </w:trPr>
        <w:tc>
          <w:tcPr>
            <w:tcW w:w="7338" w:type="dxa"/>
          </w:tcPr>
          <w:p w14:paraId="1CDFC3E2" w14:textId="0F238828" w:rsidR="006408BF" w:rsidRPr="001930B4" w:rsidRDefault="00AE7ED2" w:rsidP="00AE7E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У</w:t>
            </w:r>
            <w:r w:rsidR="006408BF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частие Банка в системе обязательного стр</w:t>
            </w: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ахования вкладов </w:t>
            </w:r>
            <w:r w:rsidR="000E7D36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в банках Р</w:t>
            </w:r>
            <w:r w:rsidR="00B75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оссийской </w:t>
            </w:r>
            <w:r w:rsidR="000E7D36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Ф</w:t>
            </w:r>
            <w:r w:rsidR="00B75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едерации</w:t>
            </w:r>
          </w:p>
        </w:tc>
        <w:tc>
          <w:tcPr>
            <w:tcW w:w="2268" w:type="dxa"/>
          </w:tcPr>
          <w:p w14:paraId="4F6A8952" w14:textId="77777777" w:rsidR="006408BF" w:rsidRPr="001930B4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6408BF" w:rsidRPr="001930B4" w14:paraId="5356DFC7" w14:textId="77777777" w:rsidTr="006408BF">
        <w:trPr>
          <w:trHeight w:val="570"/>
        </w:trPr>
        <w:tc>
          <w:tcPr>
            <w:tcW w:w="7338" w:type="dxa"/>
          </w:tcPr>
          <w:p w14:paraId="6834AF4B" w14:textId="77777777" w:rsidR="006408BF" w:rsidRPr="001930B4" w:rsidRDefault="00AE7ED2" w:rsidP="00AE7E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Наличие </w:t>
            </w:r>
            <w:r w:rsidR="006408BF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положительно</w:t>
            </w: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го</w:t>
            </w:r>
            <w:r w:rsidR="006408BF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аудиторского заключени</w:t>
            </w:r>
            <w:r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я</w:t>
            </w:r>
            <w:r w:rsidR="006408BF" w:rsidRPr="001930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за прошедший год</w:t>
            </w:r>
          </w:p>
        </w:tc>
        <w:tc>
          <w:tcPr>
            <w:tcW w:w="2268" w:type="dxa"/>
          </w:tcPr>
          <w:p w14:paraId="4835CF19" w14:textId="77777777" w:rsidR="006408BF" w:rsidRPr="001930B4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</w:tbl>
    <w:p w14:paraId="46D3AC23" w14:textId="77777777" w:rsidR="00441E25" w:rsidRPr="001930B4" w:rsidRDefault="00441E25" w:rsidP="00441E25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14:paraId="417F8232" w14:textId="77777777" w:rsidR="00441E25" w:rsidRPr="001930B4" w:rsidRDefault="00441E25" w:rsidP="00AE7ED2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193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</w:p>
    <w:p w14:paraId="53B29CF1" w14:textId="77777777" w:rsidR="00441E25" w:rsidRPr="001930B4" w:rsidRDefault="00441E25" w:rsidP="00251953">
      <w:pPr>
        <w:tabs>
          <w:tab w:val="left" w:pos="7920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sectPr w:rsidR="00441E25" w:rsidRPr="001930B4" w:rsidSect="00974F9C">
      <w:footerReference w:type="default" r:id="rId10"/>
      <w:pgSz w:w="11906" w:h="16838"/>
      <w:pgMar w:top="851" w:right="850" w:bottom="709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FAA7" w14:textId="77777777" w:rsidR="00BF5DFB" w:rsidRDefault="00BF5DFB" w:rsidP="0091066A">
      <w:pPr>
        <w:spacing w:after="0" w:line="240" w:lineRule="auto"/>
      </w:pPr>
      <w:r>
        <w:separator/>
      </w:r>
    </w:p>
  </w:endnote>
  <w:endnote w:type="continuationSeparator" w:id="0">
    <w:p w14:paraId="2A9CD5A0" w14:textId="77777777" w:rsidR="00BF5DFB" w:rsidRDefault="00BF5DFB" w:rsidP="0091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069372"/>
      <w:docPartObj>
        <w:docPartGallery w:val="Page Numbers (Bottom of Page)"/>
        <w:docPartUnique/>
      </w:docPartObj>
    </w:sdtPr>
    <w:sdtContent>
      <w:p w14:paraId="59D6F9ED" w14:textId="3090CE77" w:rsidR="009E44A9" w:rsidRDefault="009E44A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591">
          <w:rPr>
            <w:noProof/>
          </w:rPr>
          <w:t>4</w:t>
        </w:r>
        <w:r>
          <w:fldChar w:fldCharType="end"/>
        </w:r>
      </w:p>
    </w:sdtContent>
  </w:sdt>
  <w:p w14:paraId="110EE7D0" w14:textId="77777777" w:rsidR="00441E25" w:rsidRDefault="00441E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2C22" w14:textId="77777777" w:rsidR="00BF5DFB" w:rsidRDefault="00BF5DFB" w:rsidP="0091066A">
      <w:pPr>
        <w:spacing w:after="0" w:line="240" w:lineRule="auto"/>
      </w:pPr>
      <w:r>
        <w:separator/>
      </w:r>
    </w:p>
  </w:footnote>
  <w:footnote w:type="continuationSeparator" w:id="0">
    <w:p w14:paraId="66CAFCA4" w14:textId="77777777" w:rsidR="00BF5DFB" w:rsidRDefault="00BF5DFB" w:rsidP="0091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22C"/>
    <w:multiLevelType w:val="hybridMultilevel"/>
    <w:tmpl w:val="FED6EDF4"/>
    <w:lvl w:ilvl="0" w:tplc="3970C8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81FEA"/>
    <w:multiLevelType w:val="hybridMultilevel"/>
    <w:tmpl w:val="99FA777C"/>
    <w:lvl w:ilvl="0" w:tplc="867492DC">
      <w:start w:val="1"/>
      <w:numFmt w:val="decimal"/>
      <w:lvlText w:val="%1."/>
      <w:lvlJc w:val="left"/>
      <w:pPr>
        <w:ind w:left="3337" w:hanging="360"/>
      </w:pPr>
      <w:rPr>
        <w:rFonts w:ascii="Calibri Light" w:hAnsi="Calibri Light"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2ED14214"/>
    <w:multiLevelType w:val="multilevel"/>
    <w:tmpl w:val="216C9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3" w15:restartNumberingAfterBreak="0">
    <w:nsid w:val="4C3E3B6B"/>
    <w:multiLevelType w:val="hybridMultilevel"/>
    <w:tmpl w:val="7C44C97E"/>
    <w:lvl w:ilvl="0" w:tplc="685C2D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E8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C5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81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C3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26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8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E6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EA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07578"/>
    <w:multiLevelType w:val="multilevel"/>
    <w:tmpl w:val="A29E2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6443354"/>
    <w:multiLevelType w:val="multilevel"/>
    <w:tmpl w:val="C108C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18390623">
    <w:abstractNumId w:val="2"/>
  </w:num>
  <w:num w:numId="2" w16cid:durableId="346829961">
    <w:abstractNumId w:val="1"/>
  </w:num>
  <w:num w:numId="3" w16cid:durableId="1291866394">
    <w:abstractNumId w:val="0"/>
  </w:num>
  <w:num w:numId="4" w16cid:durableId="1282765318">
    <w:abstractNumId w:val="4"/>
  </w:num>
  <w:num w:numId="5" w16cid:durableId="560214487">
    <w:abstractNumId w:val="5"/>
  </w:num>
  <w:num w:numId="6" w16cid:durableId="362874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2F"/>
    <w:rsid w:val="00000AF4"/>
    <w:rsid w:val="000250DF"/>
    <w:rsid w:val="00034B23"/>
    <w:rsid w:val="0005432A"/>
    <w:rsid w:val="0008472C"/>
    <w:rsid w:val="00094966"/>
    <w:rsid w:val="000B6111"/>
    <w:rsid w:val="000C5C7B"/>
    <w:rsid w:val="000E0FD7"/>
    <w:rsid w:val="000E7D36"/>
    <w:rsid w:val="000F4565"/>
    <w:rsid w:val="000F5A3E"/>
    <w:rsid w:val="00101C61"/>
    <w:rsid w:val="0010250B"/>
    <w:rsid w:val="0010721A"/>
    <w:rsid w:val="00161D2B"/>
    <w:rsid w:val="00163146"/>
    <w:rsid w:val="00164E23"/>
    <w:rsid w:val="00183092"/>
    <w:rsid w:val="001930B4"/>
    <w:rsid w:val="001944A4"/>
    <w:rsid w:val="001B4350"/>
    <w:rsid w:val="001C1EE7"/>
    <w:rsid w:val="001D61F9"/>
    <w:rsid w:val="001E589E"/>
    <w:rsid w:val="001E729B"/>
    <w:rsid w:val="00230B24"/>
    <w:rsid w:val="00251953"/>
    <w:rsid w:val="00252254"/>
    <w:rsid w:val="00256E67"/>
    <w:rsid w:val="00256EB1"/>
    <w:rsid w:val="00265591"/>
    <w:rsid w:val="00294343"/>
    <w:rsid w:val="002A0BF0"/>
    <w:rsid w:val="002A6537"/>
    <w:rsid w:val="002B1FC8"/>
    <w:rsid w:val="002D0E73"/>
    <w:rsid w:val="002D483A"/>
    <w:rsid w:val="002E0750"/>
    <w:rsid w:val="00310247"/>
    <w:rsid w:val="00326595"/>
    <w:rsid w:val="003265A0"/>
    <w:rsid w:val="00356420"/>
    <w:rsid w:val="003622C3"/>
    <w:rsid w:val="00365971"/>
    <w:rsid w:val="00374970"/>
    <w:rsid w:val="003866B0"/>
    <w:rsid w:val="003A0AC4"/>
    <w:rsid w:val="003A4E6F"/>
    <w:rsid w:val="003E6C86"/>
    <w:rsid w:val="003E7F0A"/>
    <w:rsid w:val="003F0D5C"/>
    <w:rsid w:val="0040126F"/>
    <w:rsid w:val="004212A1"/>
    <w:rsid w:val="00441E25"/>
    <w:rsid w:val="004447F9"/>
    <w:rsid w:val="004527CD"/>
    <w:rsid w:val="00464919"/>
    <w:rsid w:val="004719EF"/>
    <w:rsid w:val="00495CA3"/>
    <w:rsid w:val="004A27ED"/>
    <w:rsid w:val="004A794B"/>
    <w:rsid w:val="004A7CA2"/>
    <w:rsid w:val="004B4767"/>
    <w:rsid w:val="004C5DA5"/>
    <w:rsid w:val="004E76E2"/>
    <w:rsid w:val="004F419B"/>
    <w:rsid w:val="00524168"/>
    <w:rsid w:val="00535EF5"/>
    <w:rsid w:val="005563BD"/>
    <w:rsid w:val="00574E6B"/>
    <w:rsid w:val="00584A8A"/>
    <w:rsid w:val="00584F31"/>
    <w:rsid w:val="005939E1"/>
    <w:rsid w:val="005A05D5"/>
    <w:rsid w:val="005A227F"/>
    <w:rsid w:val="005C4D17"/>
    <w:rsid w:val="005E6B88"/>
    <w:rsid w:val="00600785"/>
    <w:rsid w:val="006408BF"/>
    <w:rsid w:val="00653162"/>
    <w:rsid w:val="00662A6A"/>
    <w:rsid w:val="00664F47"/>
    <w:rsid w:val="006A0041"/>
    <w:rsid w:val="006B43EE"/>
    <w:rsid w:val="006B504E"/>
    <w:rsid w:val="006D04B9"/>
    <w:rsid w:val="006E4101"/>
    <w:rsid w:val="006F5695"/>
    <w:rsid w:val="006F7C75"/>
    <w:rsid w:val="0070151B"/>
    <w:rsid w:val="00707579"/>
    <w:rsid w:val="00746072"/>
    <w:rsid w:val="00752EA7"/>
    <w:rsid w:val="00756B11"/>
    <w:rsid w:val="00765882"/>
    <w:rsid w:val="007A0056"/>
    <w:rsid w:val="007D1D7D"/>
    <w:rsid w:val="007D1DA9"/>
    <w:rsid w:val="007F1116"/>
    <w:rsid w:val="00822974"/>
    <w:rsid w:val="0083628E"/>
    <w:rsid w:val="0084405C"/>
    <w:rsid w:val="008501DC"/>
    <w:rsid w:val="008506DA"/>
    <w:rsid w:val="0085194A"/>
    <w:rsid w:val="0085412F"/>
    <w:rsid w:val="00871378"/>
    <w:rsid w:val="008822A7"/>
    <w:rsid w:val="00885C08"/>
    <w:rsid w:val="008A4030"/>
    <w:rsid w:val="008A60D6"/>
    <w:rsid w:val="008B75E4"/>
    <w:rsid w:val="008C71EE"/>
    <w:rsid w:val="008D0513"/>
    <w:rsid w:val="008D760C"/>
    <w:rsid w:val="008E2420"/>
    <w:rsid w:val="008F0C7A"/>
    <w:rsid w:val="0091066A"/>
    <w:rsid w:val="009118C5"/>
    <w:rsid w:val="009261D3"/>
    <w:rsid w:val="0092692E"/>
    <w:rsid w:val="009441FF"/>
    <w:rsid w:val="00974F9C"/>
    <w:rsid w:val="00983542"/>
    <w:rsid w:val="009B04A2"/>
    <w:rsid w:val="009C65FB"/>
    <w:rsid w:val="009D1E18"/>
    <w:rsid w:val="009D4D11"/>
    <w:rsid w:val="009E44A9"/>
    <w:rsid w:val="009E73A9"/>
    <w:rsid w:val="009F22C2"/>
    <w:rsid w:val="00A419BD"/>
    <w:rsid w:val="00A42631"/>
    <w:rsid w:val="00A44DBF"/>
    <w:rsid w:val="00A5069A"/>
    <w:rsid w:val="00A54A40"/>
    <w:rsid w:val="00A638D4"/>
    <w:rsid w:val="00A64C0E"/>
    <w:rsid w:val="00A764E2"/>
    <w:rsid w:val="00A82AB9"/>
    <w:rsid w:val="00A94A7C"/>
    <w:rsid w:val="00AA00D8"/>
    <w:rsid w:val="00AC57F6"/>
    <w:rsid w:val="00AD35C4"/>
    <w:rsid w:val="00AE7ED2"/>
    <w:rsid w:val="00B2220C"/>
    <w:rsid w:val="00B75EB9"/>
    <w:rsid w:val="00B83B4F"/>
    <w:rsid w:val="00B85906"/>
    <w:rsid w:val="00B8691A"/>
    <w:rsid w:val="00B95D1F"/>
    <w:rsid w:val="00B96061"/>
    <w:rsid w:val="00BA0313"/>
    <w:rsid w:val="00BA6615"/>
    <w:rsid w:val="00BD01EC"/>
    <w:rsid w:val="00BF2230"/>
    <w:rsid w:val="00BF5DFB"/>
    <w:rsid w:val="00BF7023"/>
    <w:rsid w:val="00C0592B"/>
    <w:rsid w:val="00C132ED"/>
    <w:rsid w:val="00C13373"/>
    <w:rsid w:val="00C521BE"/>
    <w:rsid w:val="00C53148"/>
    <w:rsid w:val="00C61DB4"/>
    <w:rsid w:val="00C66EE8"/>
    <w:rsid w:val="00C774EA"/>
    <w:rsid w:val="00C85D49"/>
    <w:rsid w:val="00CA29D2"/>
    <w:rsid w:val="00CB6A30"/>
    <w:rsid w:val="00CE68F2"/>
    <w:rsid w:val="00CF42A7"/>
    <w:rsid w:val="00CF56BB"/>
    <w:rsid w:val="00D022EE"/>
    <w:rsid w:val="00D13572"/>
    <w:rsid w:val="00D14D23"/>
    <w:rsid w:val="00D2287B"/>
    <w:rsid w:val="00D25AFC"/>
    <w:rsid w:val="00D308B2"/>
    <w:rsid w:val="00D615EC"/>
    <w:rsid w:val="00D725F2"/>
    <w:rsid w:val="00DA1750"/>
    <w:rsid w:val="00DB19DF"/>
    <w:rsid w:val="00DB7FC9"/>
    <w:rsid w:val="00DC5E7F"/>
    <w:rsid w:val="00DD1717"/>
    <w:rsid w:val="00DD5370"/>
    <w:rsid w:val="00DD5AF8"/>
    <w:rsid w:val="00DF2D7C"/>
    <w:rsid w:val="00E21B2C"/>
    <w:rsid w:val="00E35CCC"/>
    <w:rsid w:val="00E72DE8"/>
    <w:rsid w:val="00E75AE5"/>
    <w:rsid w:val="00E84BFD"/>
    <w:rsid w:val="00EA0C30"/>
    <w:rsid w:val="00EB229D"/>
    <w:rsid w:val="00EB38DE"/>
    <w:rsid w:val="00ED0322"/>
    <w:rsid w:val="00ED0D50"/>
    <w:rsid w:val="00ED1B89"/>
    <w:rsid w:val="00ED40AE"/>
    <w:rsid w:val="00EF00AF"/>
    <w:rsid w:val="00F00499"/>
    <w:rsid w:val="00F009F3"/>
    <w:rsid w:val="00F03C49"/>
    <w:rsid w:val="00F128ED"/>
    <w:rsid w:val="00F208FD"/>
    <w:rsid w:val="00F3108D"/>
    <w:rsid w:val="00F32C09"/>
    <w:rsid w:val="00F34277"/>
    <w:rsid w:val="00F4625D"/>
    <w:rsid w:val="00F6620D"/>
    <w:rsid w:val="00F81562"/>
    <w:rsid w:val="00F90532"/>
    <w:rsid w:val="00FA3153"/>
    <w:rsid w:val="00FF37B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44383"/>
  <w15:docId w15:val="{F76F8CBC-D5B6-4989-8A11-0846595A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B89"/>
  </w:style>
  <w:style w:type="paragraph" w:styleId="3">
    <w:name w:val="heading 3"/>
    <w:basedOn w:val="a"/>
    <w:next w:val="a"/>
    <w:link w:val="30"/>
    <w:uiPriority w:val="9"/>
    <w:unhideWhenUsed/>
    <w:qFormat/>
    <w:rsid w:val="00D615E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5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D615EC"/>
    <w:pPr>
      <w:ind w:left="720"/>
      <w:contextualSpacing/>
    </w:pPr>
  </w:style>
  <w:style w:type="paragraph" w:styleId="a5">
    <w:name w:val="footnote text"/>
    <w:basedOn w:val="a"/>
    <w:link w:val="a6"/>
    <w:semiHidden/>
    <w:rsid w:val="0091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10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1066A"/>
    <w:rPr>
      <w:vertAlign w:val="superscript"/>
    </w:rPr>
  </w:style>
  <w:style w:type="character" w:styleId="a8">
    <w:name w:val="Hyperlink"/>
    <w:basedOn w:val="a0"/>
    <w:uiPriority w:val="99"/>
    <w:unhideWhenUsed/>
    <w:rsid w:val="00574E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F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5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4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E25"/>
  </w:style>
  <w:style w:type="paragraph" w:styleId="ae">
    <w:name w:val="footer"/>
    <w:basedOn w:val="a"/>
    <w:link w:val="af"/>
    <w:uiPriority w:val="99"/>
    <w:unhideWhenUsed/>
    <w:rsid w:val="0044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E25"/>
  </w:style>
  <w:style w:type="paragraph" w:styleId="af0">
    <w:name w:val="Revision"/>
    <w:hidden/>
    <w:uiPriority w:val="99"/>
    <w:semiHidden/>
    <w:rsid w:val="00EB229D"/>
    <w:pPr>
      <w:spacing w:after="0" w:line="240" w:lineRule="auto"/>
    </w:pPr>
  </w:style>
  <w:style w:type="paragraph" w:styleId="af1">
    <w:name w:val="Normal (Web)"/>
    <w:basedOn w:val="a"/>
    <w:uiPriority w:val="99"/>
    <w:rsid w:val="006A00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495CA3"/>
  </w:style>
  <w:style w:type="paragraph" w:customStyle="1" w:styleId="s1">
    <w:name w:val="s_1"/>
    <w:basedOn w:val="a"/>
    <w:rsid w:val="00E3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3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35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36AF-B5D3-45DE-821A-0A101E60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Olga</cp:lastModifiedBy>
  <cp:revision>3</cp:revision>
  <cp:lastPrinted>2022-12-16T08:10:00Z</cp:lastPrinted>
  <dcterms:created xsi:type="dcterms:W3CDTF">2022-12-23T06:21:00Z</dcterms:created>
  <dcterms:modified xsi:type="dcterms:W3CDTF">2022-12-23T06:21:00Z</dcterms:modified>
</cp:coreProperties>
</file>